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65A18" w14:textId="1BDC5F56" w:rsidR="00396235" w:rsidRPr="00000B6F" w:rsidRDefault="006E64D4" w:rsidP="00B54277">
      <w:pPr>
        <w:spacing w:afterLines="50" w:after="180"/>
        <w:jc w:val="center"/>
        <w:rPr>
          <w:rFonts w:eastAsia="標楷體"/>
          <w:b/>
          <w:bCs/>
          <w:sz w:val="32"/>
          <w:szCs w:val="32"/>
        </w:rPr>
      </w:pPr>
      <w:r>
        <w:rPr>
          <w:rFonts w:eastAsia="標楷體"/>
          <w:b/>
          <w:bCs/>
          <w:sz w:val="32"/>
          <w:szCs w:val="32"/>
        </w:rPr>
        <w:t>高雄市</w:t>
      </w:r>
      <w:r>
        <w:rPr>
          <w:rFonts w:eastAsia="標楷體" w:hint="eastAsia"/>
          <w:b/>
          <w:bCs/>
          <w:sz w:val="32"/>
          <w:szCs w:val="32"/>
        </w:rPr>
        <w:t>立瑞祥高級中學</w:t>
      </w:r>
      <w:r w:rsidR="00396235" w:rsidRPr="00000B6F">
        <w:rPr>
          <w:rFonts w:eastAsia="標楷體"/>
          <w:b/>
          <w:bCs/>
          <w:sz w:val="32"/>
          <w:szCs w:val="32"/>
        </w:rPr>
        <w:t>公務人員陞任評分標準表</w:t>
      </w:r>
      <w:bookmarkStart w:id="0" w:name="_GoBack"/>
      <w:bookmarkEnd w:id="0"/>
    </w:p>
    <w:p w14:paraId="248A5A32" w14:textId="77777777" w:rsidR="001B7341" w:rsidRDefault="00F37319" w:rsidP="00B54277">
      <w:pPr>
        <w:spacing w:afterLines="50" w:after="180"/>
        <w:jc w:val="right"/>
        <w:rPr>
          <w:rFonts w:ascii="標楷體" w:eastAsia="標楷體" w:hAnsi="標楷體"/>
          <w:bCs/>
        </w:rPr>
      </w:pPr>
      <w:r>
        <w:rPr>
          <w:rFonts w:ascii="標楷體" w:eastAsia="標楷體" w:hAnsi="標楷體" w:hint="eastAsia"/>
        </w:rPr>
        <w:t>113</w:t>
      </w:r>
      <w:r w:rsidRPr="007F7230">
        <w:rPr>
          <w:rFonts w:ascii="標楷體" w:eastAsia="標楷體" w:hAnsi="標楷體" w:hint="eastAsia"/>
        </w:rPr>
        <w:t>年</w:t>
      </w:r>
      <w:r>
        <w:rPr>
          <w:rFonts w:ascii="標楷體" w:eastAsia="標楷體" w:hAnsi="標楷體" w:hint="eastAsia"/>
        </w:rPr>
        <w:t>3</w:t>
      </w:r>
      <w:r w:rsidRPr="007F7230">
        <w:rPr>
          <w:rFonts w:ascii="標楷體" w:eastAsia="標楷體" w:hAnsi="標楷體" w:hint="eastAsia"/>
        </w:rPr>
        <w:t>月</w:t>
      </w:r>
      <w:r>
        <w:rPr>
          <w:rFonts w:ascii="標楷體" w:eastAsia="標楷體" w:hAnsi="標楷體" w:hint="eastAsia"/>
        </w:rPr>
        <w:t>27</w:t>
      </w:r>
      <w:r w:rsidRPr="007F7230">
        <w:rPr>
          <w:rFonts w:ascii="標楷體" w:eastAsia="標楷體" w:hAnsi="標楷體" w:hint="eastAsia"/>
        </w:rPr>
        <w:t>日</w:t>
      </w:r>
      <w:r w:rsidR="006E64D4" w:rsidRPr="00F37319">
        <w:rPr>
          <w:rFonts w:ascii="標楷體" w:eastAsia="標楷體" w:hAnsi="標楷體" w:hint="eastAsia"/>
          <w:bCs/>
        </w:rPr>
        <w:t>113</w:t>
      </w:r>
      <w:r w:rsidR="00396235" w:rsidRPr="00F37319">
        <w:rPr>
          <w:rFonts w:ascii="標楷體" w:eastAsia="標楷體" w:hAnsi="標楷體"/>
          <w:bCs/>
        </w:rPr>
        <w:t>年</w:t>
      </w:r>
      <w:r w:rsidR="006E64D4" w:rsidRPr="00F37319">
        <w:rPr>
          <w:rFonts w:ascii="標楷體" w:eastAsia="標楷體" w:hAnsi="標楷體" w:hint="eastAsia"/>
          <w:bCs/>
        </w:rPr>
        <w:t>度</w:t>
      </w:r>
      <w:r w:rsidR="00396235" w:rsidRPr="00F37319">
        <w:rPr>
          <w:rFonts w:ascii="標楷體" w:eastAsia="標楷體" w:hAnsi="標楷體"/>
          <w:bCs/>
        </w:rPr>
        <w:t>第</w:t>
      </w:r>
      <w:r>
        <w:rPr>
          <w:rFonts w:ascii="標楷體" w:eastAsia="標楷體" w:hAnsi="標楷體" w:hint="eastAsia"/>
          <w:bCs/>
        </w:rPr>
        <w:t>7</w:t>
      </w:r>
      <w:r w:rsidR="00396235" w:rsidRPr="00F37319">
        <w:rPr>
          <w:rFonts w:ascii="標楷體" w:eastAsia="標楷體" w:hAnsi="標楷體"/>
          <w:bCs/>
        </w:rPr>
        <w:t>次</w:t>
      </w:r>
      <w:r w:rsidR="006E64D4" w:rsidRPr="00F37319">
        <w:rPr>
          <w:rFonts w:ascii="標楷體" w:eastAsia="標楷體" w:hAnsi="標楷體" w:hint="eastAsia"/>
          <w:bCs/>
        </w:rPr>
        <w:t>考績暨</w:t>
      </w:r>
      <w:r w:rsidR="00396235" w:rsidRPr="00F37319">
        <w:rPr>
          <w:rFonts w:ascii="標楷體" w:eastAsia="標楷體" w:hAnsi="標楷體"/>
          <w:bCs/>
        </w:rPr>
        <w:t>甄審委員會會議修正通過</w:t>
      </w:r>
      <w:r w:rsidR="001B7341">
        <w:rPr>
          <w:rFonts w:ascii="標楷體" w:eastAsia="標楷體" w:hAnsi="標楷體" w:hint="eastAsia"/>
          <w:bCs/>
        </w:rPr>
        <w:t>，</w:t>
      </w:r>
    </w:p>
    <w:p w14:paraId="367F7246" w14:textId="1AEA2B43" w:rsidR="00396235" w:rsidRPr="00000B6F" w:rsidRDefault="001B7341" w:rsidP="00B54277">
      <w:pPr>
        <w:spacing w:afterLines="50" w:after="180"/>
        <w:jc w:val="right"/>
        <w:rPr>
          <w:rFonts w:eastAsia="標楷體"/>
          <w:bCs/>
        </w:rPr>
      </w:pPr>
      <w:r>
        <w:rPr>
          <w:rFonts w:ascii="標楷體" w:eastAsia="標楷體" w:hAnsi="標楷體" w:hint="eastAsia"/>
          <w:bCs/>
        </w:rPr>
        <w:t>並自113年4月1日生效</w:t>
      </w:r>
    </w:p>
    <w:tbl>
      <w:tblPr>
        <w:tblStyle w:val="TableNormal"/>
        <w:tblW w:w="15346"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1"/>
        <w:gridCol w:w="1011"/>
        <w:gridCol w:w="3402"/>
        <w:gridCol w:w="1701"/>
        <w:gridCol w:w="1701"/>
        <w:gridCol w:w="6520"/>
      </w:tblGrid>
      <w:tr w:rsidR="004001A8" w:rsidRPr="00000B6F" w14:paraId="28340717" w14:textId="77777777" w:rsidTr="009B11F1">
        <w:trPr>
          <w:trHeight w:val="388"/>
        </w:trPr>
        <w:tc>
          <w:tcPr>
            <w:tcW w:w="1011" w:type="dxa"/>
            <w:vMerge w:val="restart"/>
            <w:vAlign w:val="center"/>
          </w:tcPr>
          <w:p w14:paraId="0FF29A6F" w14:textId="77777777" w:rsidR="004001A8" w:rsidRPr="00000B6F" w:rsidRDefault="004001A8" w:rsidP="001730F8">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評比類別</w:t>
            </w:r>
          </w:p>
        </w:tc>
        <w:tc>
          <w:tcPr>
            <w:tcW w:w="1011" w:type="dxa"/>
            <w:vMerge w:val="restart"/>
            <w:vAlign w:val="center"/>
          </w:tcPr>
          <w:p w14:paraId="691B525D" w14:textId="77777777" w:rsidR="004001A8" w:rsidRPr="00000B6F" w:rsidRDefault="004001A8" w:rsidP="001730F8">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評比項目</w:t>
            </w:r>
          </w:p>
        </w:tc>
        <w:tc>
          <w:tcPr>
            <w:tcW w:w="3402" w:type="dxa"/>
            <w:vMerge w:val="restart"/>
            <w:vAlign w:val="center"/>
          </w:tcPr>
          <w:p w14:paraId="5833A2E9" w14:textId="77777777" w:rsidR="004001A8" w:rsidRPr="00000B6F" w:rsidRDefault="004001A8" w:rsidP="001730F8">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評分標準</w:t>
            </w:r>
          </w:p>
        </w:tc>
        <w:tc>
          <w:tcPr>
            <w:tcW w:w="3402" w:type="dxa"/>
            <w:gridSpan w:val="2"/>
            <w:vAlign w:val="center"/>
          </w:tcPr>
          <w:p w14:paraId="4FFD986A" w14:textId="77777777" w:rsidR="004001A8" w:rsidRPr="00000B6F" w:rsidRDefault="004001A8" w:rsidP="001730F8">
            <w:pPr>
              <w:pStyle w:val="TableParagraph"/>
              <w:spacing w:before="28"/>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配分</w:t>
            </w:r>
          </w:p>
        </w:tc>
        <w:tc>
          <w:tcPr>
            <w:tcW w:w="6520" w:type="dxa"/>
            <w:vMerge w:val="restart"/>
            <w:vAlign w:val="center"/>
          </w:tcPr>
          <w:p w14:paraId="4ECCF732" w14:textId="77777777" w:rsidR="004001A8" w:rsidRPr="00000B6F" w:rsidRDefault="004001A8" w:rsidP="001730F8">
            <w:pPr>
              <w:pStyle w:val="TableParagraph"/>
              <w:ind w:right="5"/>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說明</w:t>
            </w:r>
          </w:p>
        </w:tc>
      </w:tr>
      <w:tr w:rsidR="00C63E4E" w:rsidRPr="00000B6F" w14:paraId="2CA5273C" w14:textId="77777777" w:rsidTr="009B11F1">
        <w:trPr>
          <w:trHeight w:val="388"/>
        </w:trPr>
        <w:tc>
          <w:tcPr>
            <w:tcW w:w="1011" w:type="dxa"/>
            <w:vMerge/>
          </w:tcPr>
          <w:p w14:paraId="6F00D398" w14:textId="77777777" w:rsidR="004001A8" w:rsidRPr="00000B6F" w:rsidRDefault="004001A8" w:rsidP="001730F8">
            <w:pPr>
              <w:rPr>
                <w:sz w:val="24"/>
              </w:rPr>
            </w:pPr>
          </w:p>
        </w:tc>
        <w:tc>
          <w:tcPr>
            <w:tcW w:w="1011" w:type="dxa"/>
            <w:vMerge/>
          </w:tcPr>
          <w:p w14:paraId="0DC2710C" w14:textId="77777777" w:rsidR="004001A8" w:rsidRPr="00000B6F" w:rsidRDefault="004001A8" w:rsidP="001730F8">
            <w:pPr>
              <w:rPr>
                <w:sz w:val="24"/>
              </w:rPr>
            </w:pPr>
          </w:p>
        </w:tc>
        <w:tc>
          <w:tcPr>
            <w:tcW w:w="3402" w:type="dxa"/>
            <w:vMerge/>
          </w:tcPr>
          <w:p w14:paraId="77779287" w14:textId="77777777" w:rsidR="004001A8" w:rsidRPr="00000B6F" w:rsidRDefault="004001A8" w:rsidP="001730F8">
            <w:pPr>
              <w:rPr>
                <w:sz w:val="24"/>
              </w:rPr>
            </w:pPr>
          </w:p>
        </w:tc>
        <w:tc>
          <w:tcPr>
            <w:tcW w:w="1701" w:type="dxa"/>
            <w:vAlign w:val="center"/>
          </w:tcPr>
          <w:p w14:paraId="413D3596" w14:textId="77777777" w:rsidR="004001A8" w:rsidRPr="00000B6F" w:rsidRDefault="004001A8" w:rsidP="001730F8">
            <w:pPr>
              <w:pStyle w:val="TableParagraph"/>
              <w:spacing w:before="28"/>
              <w:jc w:val="center"/>
              <w:rPr>
                <w:rFonts w:ascii="Times New Roman" w:eastAsia="標楷體" w:hAnsi="Times New Roman" w:cs="Times New Roman"/>
                <w:spacing w:val="-4"/>
                <w:sz w:val="24"/>
                <w:szCs w:val="24"/>
              </w:rPr>
            </w:pPr>
            <w:r w:rsidRPr="00000B6F">
              <w:rPr>
                <w:rFonts w:ascii="Times New Roman" w:eastAsia="標楷體" w:hAnsi="Times New Roman" w:cs="Times New Roman"/>
                <w:spacing w:val="-4"/>
                <w:sz w:val="24"/>
                <w:szCs w:val="24"/>
              </w:rPr>
              <w:t>擬任非主管職務</w:t>
            </w:r>
          </w:p>
        </w:tc>
        <w:tc>
          <w:tcPr>
            <w:tcW w:w="1701" w:type="dxa"/>
            <w:vAlign w:val="center"/>
          </w:tcPr>
          <w:p w14:paraId="643D8EBC" w14:textId="77777777" w:rsidR="004001A8" w:rsidRPr="00000B6F" w:rsidRDefault="004001A8" w:rsidP="001730F8">
            <w:pPr>
              <w:pStyle w:val="TableParagraph"/>
              <w:spacing w:before="28"/>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擬任主管職務</w:t>
            </w:r>
          </w:p>
        </w:tc>
        <w:tc>
          <w:tcPr>
            <w:tcW w:w="6520" w:type="dxa"/>
            <w:vMerge/>
          </w:tcPr>
          <w:p w14:paraId="2899BAEF" w14:textId="77777777" w:rsidR="004001A8" w:rsidRPr="00000B6F" w:rsidRDefault="004001A8" w:rsidP="001730F8">
            <w:pPr>
              <w:rPr>
                <w:sz w:val="24"/>
              </w:rPr>
            </w:pPr>
          </w:p>
        </w:tc>
      </w:tr>
      <w:tr w:rsidR="003776B7" w:rsidRPr="00000B6F" w14:paraId="1B488200" w14:textId="77777777" w:rsidTr="009B11F1">
        <w:trPr>
          <w:trHeight w:val="788"/>
        </w:trPr>
        <w:tc>
          <w:tcPr>
            <w:tcW w:w="1011" w:type="dxa"/>
            <w:vMerge w:val="restart"/>
            <w:vAlign w:val="center"/>
          </w:tcPr>
          <w:p w14:paraId="6E3649CC" w14:textId="77777777" w:rsidR="003776B7" w:rsidRPr="00000B6F" w:rsidRDefault="003776B7" w:rsidP="004A32C2">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基本</w:t>
            </w:r>
          </w:p>
          <w:p w14:paraId="56DEFC6A" w14:textId="0DED933D" w:rsidR="003776B7" w:rsidRPr="00000B6F" w:rsidRDefault="003776B7" w:rsidP="004A32C2">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選項</w:t>
            </w:r>
          </w:p>
        </w:tc>
        <w:tc>
          <w:tcPr>
            <w:tcW w:w="1011" w:type="dxa"/>
            <w:vMerge w:val="restart"/>
            <w:vAlign w:val="center"/>
          </w:tcPr>
          <w:p w14:paraId="12276F82" w14:textId="77777777" w:rsidR="003776B7" w:rsidRPr="00000B6F" w:rsidRDefault="003776B7" w:rsidP="004A32C2">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學歷</w:t>
            </w:r>
          </w:p>
          <w:p w14:paraId="4386639F" w14:textId="3540CDE4" w:rsidR="003776B7" w:rsidRPr="00000B6F" w:rsidRDefault="003776B7" w:rsidP="004A32C2">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考試</w:t>
            </w:r>
          </w:p>
        </w:tc>
        <w:tc>
          <w:tcPr>
            <w:tcW w:w="3402" w:type="dxa"/>
            <w:vAlign w:val="center"/>
          </w:tcPr>
          <w:p w14:paraId="15A8A0EF" w14:textId="77777777" w:rsidR="003776B7" w:rsidRPr="00000B6F" w:rsidRDefault="003776B7" w:rsidP="00FD5912">
            <w:pPr>
              <w:pStyle w:val="TableParagraph"/>
              <w:spacing w:before="11" w:line="360" w:lineRule="exact"/>
              <w:ind w:leftChars="50" w:left="120" w:rightChars="50" w:right="120"/>
              <w:jc w:val="both"/>
              <w:rPr>
                <w:rFonts w:ascii="Times New Roman" w:eastAsia="標楷體" w:hAnsi="Times New Roman" w:cs="Times New Roman"/>
                <w:sz w:val="24"/>
                <w:szCs w:val="24"/>
                <w:lang w:eastAsia="zh-TW"/>
              </w:rPr>
            </w:pPr>
            <w:r w:rsidRPr="00000B6F">
              <w:rPr>
                <w:rFonts w:ascii="Times New Roman" w:eastAsia="標楷體" w:hAnsi="Times New Roman" w:cs="Times New Roman"/>
                <w:color w:val="000000"/>
                <w:sz w:val="24"/>
                <w:szCs w:val="24"/>
                <w:lang w:eastAsia="zh-TW"/>
              </w:rPr>
              <w:t>高中（職）以上學校畢業，或經公務人員考試及格</w:t>
            </w:r>
          </w:p>
        </w:tc>
        <w:tc>
          <w:tcPr>
            <w:tcW w:w="3402" w:type="dxa"/>
            <w:gridSpan w:val="2"/>
            <w:vAlign w:val="center"/>
          </w:tcPr>
          <w:p w14:paraId="01329FF5" w14:textId="77777777" w:rsidR="003776B7" w:rsidRPr="00000B6F" w:rsidRDefault="003776B7" w:rsidP="001730F8">
            <w:pPr>
              <w:pStyle w:val="TableParagraph"/>
              <w:ind w:right="3"/>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1</w:t>
            </w:r>
            <w:r w:rsidRPr="00000B6F">
              <w:rPr>
                <w:rFonts w:ascii="Times New Roman" w:eastAsia="標楷體" w:hAnsi="Times New Roman" w:cs="Times New Roman"/>
                <w:sz w:val="24"/>
                <w:szCs w:val="24"/>
              </w:rPr>
              <w:t>分</w:t>
            </w:r>
          </w:p>
        </w:tc>
        <w:tc>
          <w:tcPr>
            <w:tcW w:w="6520" w:type="dxa"/>
            <w:vMerge w:val="restart"/>
          </w:tcPr>
          <w:p w14:paraId="0E2F3726" w14:textId="77777777" w:rsidR="003776B7" w:rsidRPr="00000B6F" w:rsidRDefault="003776B7" w:rsidP="008A269E">
            <w:pPr>
              <w:pStyle w:val="a5"/>
              <w:numPr>
                <w:ilvl w:val="0"/>
                <w:numId w:val="1"/>
              </w:numPr>
              <w:autoSpaceDE w:val="0"/>
              <w:autoSpaceDN w:val="0"/>
              <w:adjustRightInd w:val="0"/>
              <w:spacing w:line="320" w:lineRule="exact"/>
              <w:ind w:leftChars="50" w:left="602" w:rightChars="50" w:right="120" w:hanging="482"/>
              <w:jc w:val="both"/>
              <w:rPr>
                <w:rFonts w:eastAsia="標楷體"/>
                <w:color w:val="000000"/>
                <w:sz w:val="24"/>
                <w:lang w:eastAsia="zh-TW"/>
              </w:rPr>
            </w:pPr>
            <w:r w:rsidRPr="00000B6F">
              <w:rPr>
                <w:rFonts w:eastAsia="標楷體"/>
                <w:color w:val="000000"/>
                <w:sz w:val="24"/>
                <w:lang w:eastAsia="zh-TW"/>
              </w:rPr>
              <w:t>學歷之認定，以教育部或國防部（軍事學校）學制為準，並以最高學歷計算。凡經教育部立案或認可之學歷，不分國內外，計分相同。</w:t>
            </w:r>
          </w:p>
          <w:p w14:paraId="446368AC" w14:textId="77777777" w:rsidR="003776B7" w:rsidRPr="00000B6F" w:rsidRDefault="003776B7" w:rsidP="008A269E">
            <w:pPr>
              <w:pStyle w:val="a5"/>
              <w:numPr>
                <w:ilvl w:val="0"/>
                <w:numId w:val="1"/>
              </w:numPr>
              <w:autoSpaceDE w:val="0"/>
              <w:autoSpaceDN w:val="0"/>
              <w:adjustRightInd w:val="0"/>
              <w:spacing w:line="320" w:lineRule="exact"/>
              <w:ind w:leftChars="50" w:left="602" w:rightChars="50" w:right="120" w:hanging="482"/>
              <w:jc w:val="both"/>
              <w:rPr>
                <w:rFonts w:eastAsia="標楷體"/>
                <w:color w:val="000000"/>
                <w:sz w:val="24"/>
                <w:lang w:eastAsia="zh-TW"/>
              </w:rPr>
            </w:pPr>
            <w:r w:rsidRPr="00000B6F">
              <w:rPr>
                <w:rFonts w:eastAsia="標楷體"/>
                <w:color w:val="000000"/>
                <w:sz w:val="24"/>
                <w:lang w:eastAsia="zh-TW"/>
              </w:rPr>
              <w:t>公務人員考試及格，指經各類公務人員任用考試、升官等考試及國軍上校以上軍官轉任公務人員考試及格。</w:t>
            </w:r>
          </w:p>
          <w:p w14:paraId="642FDD45" w14:textId="3557E704" w:rsidR="003776B7" w:rsidRPr="00B55DB7" w:rsidRDefault="003776B7" w:rsidP="00B55DB7">
            <w:pPr>
              <w:pStyle w:val="a5"/>
              <w:numPr>
                <w:ilvl w:val="0"/>
                <w:numId w:val="1"/>
              </w:numPr>
              <w:autoSpaceDE w:val="0"/>
              <w:autoSpaceDN w:val="0"/>
              <w:adjustRightInd w:val="0"/>
              <w:spacing w:line="320" w:lineRule="exact"/>
              <w:ind w:leftChars="50" w:left="602" w:rightChars="50" w:right="120" w:hanging="482"/>
              <w:jc w:val="both"/>
              <w:rPr>
                <w:rFonts w:eastAsia="標楷體"/>
                <w:color w:val="000000"/>
                <w:sz w:val="24"/>
                <w:lang w:eastAsia="zh-TW"/>
              </w:rPr>
            </w:pPr>
            <w:r w:rsidRPr="00000B6F">
              <w:rPr>
                <w:rFonts w:eastAsia="標楷體"/>
                <w:color w:val="000000"/>
                <w:sz w:val="24"/>
                <w:lang w:eastAsia="zh-TW"/>
              </w:rPr>
              <w:t>專門職業及技術人員高等考試、普通考試及格，且轉任公務人員者，及經各類檢覈、銓定資格考試及格者，均比照公務人員考試及格計分。</w:t>
            </w:r>
          </w:p>
        </w:tc>
      </w:tr>
      <w:tr w:rsidR="003776B7" w:rsidRPr="00000B6F" w14:paraId="5B3C8095" w14:textId="77777777" w:rsidTr="009B11F1">
        <w:trPr>
          <w:trHeight w:val="856"/>
        </w:trPr>
        <w:tc>
          <w:tcPr>
            <w:tcW w:w="1011" w:type="dxa"/>
            <w:vMerge/>
          </w:tcPr>
          <w:p w14:paraId="47AFFCFC" w14:textId="77777777" w:rsidR="003776B7" w:rsidRPr="00000B6F" w:rsidRDefault="003776B7" w:rsidP="004A32C2">
            <w:pPr>
              <w:jc w:val="center"/>
              <w:rPr>
                <w:sz w:val="24"/>
                <w:lang w:eastAsia="zh-TW"/>
              </w:rPr>
            </w:pPr>
          </w:p>
        </w:tc>
        <w:tc>
          <w:tcPr>
            <w:tcW w:w="1011" w:type="dxa"/>
            <w:vMerge/>
            <w:vAlign w:val="center"/>
          </w:tcPr>
          <w:p w14:paraId="45893839" w14:textId="77777777" w:rsidR="003776B7" w:rsidRPr="00000B6F" w:rsidRDefault="003776B7" w:rsidP="004A32C2">
            <w:pPr>
              <w:jc w:val="center"/>
              <w:rPr>
                <w:sz w:val="24"/>
                <w:lang w:eastAsia="zh-TW"/>
              </w:rPr>
            </w:pPr>
          </w:p>
        </w:tc>
        <w:tc>
          <w:tcPr>
            <w:tcW w:w="3402" w:type="dxa"/>
            <w:vAlign w:val="center"/>
          </w:tcPr>
          <w:p w14:paraId="3C3EB308" w14:textId="77777777" w:rsidR="003776B7" w:rsidRPr="00000B6F" w:rsidRDefault="003776B7" w:rsidP="00FD5912">
            <w:pPr>
              <w:pStyle w:val="TableParagraph"/>
              <w:spacing w:before="8" w:line="360" w:lineRule="exact"/>
              <w:ind w:leftChars="50" w:left="120" w:rightChars="50" w:right="120"/>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大學（獨立學院）畢業，且經公務人員考試及格</w:t>
            </w:r>
          </w:p>
        </w:tc>
        <w:tc>
          <w:tcPr>
            <w:tcW w:w="3402" w:type="dxa"/>
            <w:gridSpan w:val="2"/>
            <w:vAlign w:val="center"/>
          </w:tcPr>
          <w:p w14:paraId="4C6708F5" w14:textId="77777777" w:rsidR="003776B7" w:rsidRPr="00000B6F" w:rsidRDefault="003776B7" w:rsidP="001730F8">
            <w:pPr>
              <w:pStyle w:val="TableParagraph"/>
              <w:ind w:right="3"/>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2</w:t>
            </w:r>
            <w:r w:rsidRPr="00000B6F">
              <w:rPr>
                <w:rFonts w:ascii="Times New Roman" w:eastAsia="標楷體" w:hAnsi="Times New Roman" w:cs="Times New Roman"/>
                <w:sz w:val="24"/>
                <w:szCs w:val="24"/>
              </w:rPr>
              <w:t>分</w:t>
            </w:r>
          </w:p>
        </w:tc>
        <w:tc>
          <w:tcPr>
            <w:tcW w:w="6520" w:type="dxa"/>
            <w:vMerge/>
            <w:vAlign w:val="center"/>
          </w:tcPr>
          <w:p w14:paraId="27CF6AAF" w14:textId="77777777" w:rsidR="003776B7" w:rsidRPr="00000B6F" w:rsidRDefault="003776B7" w:rsidP="007B2E31">
            <w:pPr>
              <w:spacing w:line="360" w:lineRule="exact"/>
              <w:ind w:leftChars="50" w:left="120" w:rightChars="50" w:right="120"/>
              <w:jc w:val="both"/>
              <w:rPr>
                <w:sz w:val="24"/>
              </w:rPr>
            </w:pPr>
          </w:p>
        </w:tc>
      </w:tr>
      <w:tr w:rsidR="003776B7" w:rsidRPr="00000B6F" w14:paraId="1A3CC850" w14:textId="77777777" w:rsidTr="009B11F1">
        <w:trPr>
          <w:trHeight w:val="827"/>
        </w:trPr>
        <w:tc>
          <w:tcPr>
            <w:tcW w:w="1011" w:type="dxa"/>
            <w:vMerge/>
          </w:tcPr>
          <w:p w14:paraId="3B1DB922" w14:textId="77777777" w:rsidR="003776B7" w:rsidRPr="00000B6F" w:rsidRDefault="003776B7" w:rsidP="004A32C2">
            <w:pPr>
              <w:jc w:val="center"/>
              <w:rPr>
                <w:sz w:val="24"/>
              </w:rPr>
            </w:pPr>
          </w:p>
        </w:tc>
        <w:tc>
          <w:tcPr>
            <w:tcW w:w="1011" w:type="dxa"/>
            <w:vMerge/>
            <w:vAlign w:val="center"/>
          </w:tcPr>
          <w:p w14:paraId="7E54217E" w14:textId="77777777" w:rsidR="003776B7" w:rsidRPr="00000B6F" w:rsidRDefault="003776B7" w:rsidP="004A32C2">
            <w:pPr>
              <w:jc w:val="center"/>
              <w:rPr>
                <w:sz w:val="24"/>
              </w:rPr>
            </w:pPr>
          </w:p>
        </w:tc>
        <w:tc>
          <w:tcPr>
            <w:tcW w:w="3402" w:type="dxa"/>
            <w:vAlign w:val="center"/>
          </w:tcPr>
          <w:p w14:paraId="7C95DE4C" w14:textId="77777777" w:rsidR="003776B7" w:rsidRPr="00000B6F" w:rsidRDefault="003776B7" w:rsidP="00B55DB7">
            <w:pPr>
              <w:pStyle w:val="TableParagraph"/>
              <w:spacing w:before="102" w:line="360" w:lineRule="exact"/>
              <w:ind w:leftChars="50" w:left="120" w:rightChars="50" w:right="120"/>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具碩士學位，且經公務人員考試及格</w:t>
            </w:r>
          </w:p>
        </w:tc>
        <w:tc>
          <w:tcPr>
            <w:tcW w:w="3402" w:type="dxa"/>
            <w:gridSpan w:val="2"/>
            <w:vAlign w:val="center"/>
          </w:tcPr>
          <w:p w14:paraId="1C7E0FCF" w14:textId="77777777" w:rsidR="003776B7" w:rsidRPr="00000B6F" w:rsidRDefault="003776B7" w:rsidP="001730F8">
            <w:pPr>
              <w:pStyle w:val="TableParagraph"/>
              <w:ind w:right="3"/>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3</w:t>
            </w:r>
            <w:r w:rsidRPr="00000B6F">
              <w:rPr>
                <w:rFonts w:ascii="Times New Roman" w:eastAsia="標楷體" w:hAnsi="Times New Roman" w:cs="Times New Roman"/>
                <w:sz w:val="24"/>
                <w:szCs w:val="24"/>
              </w:rPr>
              <w:t>分</w:t>
            </w:r>
          </w:p>
        </w:tc>
        <w:tc>
          <w:tcPr>
            <w:tcW w:w="6520" w:type="dxa"/>
            <w:vMerge/>
            <w:vAlign w:val="center"/>
          </w:tcPr>
          <w:p w14:paraId="2B3137F7" w14:textId="77777777" w:rsidR="003776B7" w:rsidRPr="00000B6F" w:rsidRDefault="003776B7" w:rsidP="007B2E31">
            <w:pPr>
              <w:spacing w:line="360" w:lineRule="exact"/>
              <w:ind w:leftChars="50" w:left="120" w:rightChars="50" w:right="120"/>
              <w:jc w:val="both"/>
              <w:rPr>
                <w:sz w:val="24"/>
              </w:rPr>
            </w:pPr>
          </w:p>
        </w:tc>
      </w:tr>
      <w:tr w:rsidR="003776B7" w:rsidRPr="00000B6F" w14:paraId="3303ACCE" w14:textId="77777777" w:rsidTr="009B11F1">
        <w:trPr>
          <w:trHeight w:val="839"/>
        </w:trPr>
        <w:tc>
          <w:tcPr>
            <w:tcW w:w="1011" w:type="dxa"/>
            <w:vMerge/>
          </w:tcPr>
          <w:p w14:paraId="28DD66C7" w14:textId="77777777" w:rsidR="003776B7" w:rsidRPr="00000B6F" w:rsidRDefault="003776B7" w:rsidP="004A32C2">
            <w:pPr>
              <w:jc w:val="center"/>
              <w:rPr>
                <w:sz w:val="24"/>
              </w:rPr>
            </w:pPr>
          </w:p>
        </w:tc>
        <w:tc>
          <w:tcPr>
            <w:tcW w:w="1011" w:type="dxa"/>
            <w:vMerge/>
            <w:vAlign w:val="center"/>
          </w:tcPr>
          <w:p w14:paraId="50BC9F3B" w14:textId="77777777" w:rsidR="003776B7" w:rsidRPr="00000B6F" w:rsidRDefault="003776B7" w:rsidP="004A32C2">
            <w:pPr>
              <w:jc w:val="center"/>
              <w:rPr>
                <w:sz w:val="24"/>
              </w:rPr>
            </w:pPr>
          </w:p>
        </w:tc>
        <w:tc>
          <w:tcPr>
            <w:tcW w:w="3402" w:type="dxa"/>
            <w:vAlign w:val="center"/>
          </w:tcPr>
          <w:p w14:paraId="6F358A73" w14:textId="7E389436" w:rsidR="003776B7" w:rsidRPr="00000B6F" w:rsidRDefault="005A48E8" w:rsidP="00FD5912">
            <w:pPr>
              <w:pStyle w:val="TableParagraph"/>
              <w:spacing w:line="360" w:lineRule="exact"/>
              <w:ind w:leftChars="50" w:left="120" w:rightChars="50" w:right="120"/>
              <w:jc w:val="both"/>
              <w:rPr>
                <w:rFonts w:ascii="Times New Roman" w:eastAsia="標楷體" w:hAnsi="Times New Roman" w:cs="Times New Roman"/>
                <w:sz w:val="24"/>
                <w:szCs w:val="24"/>
                <w:lang w:eastAsia="zh-TW"/>
              </w:rPr>
            </w:pPr>
            <w:r w:rsidRPr="00356BD3">
              <w:rPr>
                <w:rFonts w:ascii="Times New Roman" w:eastAsia="標楷體" w:hAnsi="Times New Roman" w:cs="Times New Roman" w:hint="eastAsia"/>
                <w:sz w:val="24"/>
                <w:szCs w:val="24"/>
                <w:lang w:eastAsia="zh-TW"/>
              </w:rPr>
              <w:t>具</w:t>
            </w:r>
            <w:r w:rsidR="003776B7" w:rsidRPr="00000B6F">
              <w:rPr>
                <w:rFonts w:ascii="Times New Roman" w:eastAsia="標楷體" w:hAnsi="Times New Roman" w:cs="Times New Roman"/>
                <w:sz w:val="24"/>
                <w:szCs w:val="24"/>
                <w:lang w:eastAsia="zh-TW"/>
              </w:rPr>
              <w:t>博士學位，且經公務人員考試及格</w:t>
            </w:r>
          </w:p>
        </w:tc>
        <w:tc>
          <w:tcPr>
            <w:tcW w:w="3402" w:type="dxa"/>
            <w:gridSpan w:val="2"/>
            <w:vAlign w:val="center"/>
          </w:tcPr>
          <w:p w14:paraId="740D4CD1" w14:textId="77777777" w:rsidR="003776B7" w:rsidRPr="00000B6F" w:rsidRDefault="003776B7" w:rsidP="001730F8">
            <w:pPr>
              <w:pStyle w:val="TableParagraph"/>
              <w:spacing w:before="172"/>
              <w:ind w:right="3"/>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4</w:t>
            </w:r>
            <w:r w:rsidRPr="00000B6F">
              <w:rPr>
                <w:rFonts w:ascii="Times New Roman" w:eastAsia="標楷體" w:hAnsi="Times New Roman" w:cs="Times New Roman"/>
                <w:sz w:val="24"/>
                <w:szCs w:val="24"/>
              </w:rPr>
              <w:t>分</w:t>
            </w:r>
          </w:p>
        </w:tc>
        <w:tc>
          <w:tcPr>
            <w:tcW w:w="6520" w:type="dxa"/>
            <w:vMerge/>
            <w:vAlign w:val="center"/>
          </w:tcPr>
          <w:p w14:paraId="3D48F59F" w14:textId="77777777" w:rsidR="003776B7" w:rsidRPr="00000B6F" w:rsidRDefault="003776B7" w:rsidP="007B2E31">
            <w:pPr>
              <w:spacing w:line="360" w:lineRule="exact"/>
              <w:ind w:leftChars="50" w:left="120" w:rightChars="50" w:right="120"/>
              <w:jc w:val="both"/>
              <w:rPr>
                <w:sz w:val="24"/>
              </w:rPr>
            </w:pPr>
          </w:p>
        </w:tc>
      </w:tr>
      <w:tr w:rsidR="003776B7" w:rsidRPr="00000B6F" w14:paraId="5C81BDDA" w14:textId="77777777" w:rsidTr="00E61988">
        <w:trPr>
          <w:trHeight w:hRule="exact" w:val="3543"/>
        </w:trPr>
        <w:tc>
          <w:tcPr>
            <w:tcW w:w="1011" w:type="dxa"/>
            <w:vMerge/>
          </w:tcPr>
          <w:p w14:paraId="2F091EB9" w14:textId="77777777" w:rsidR="003776B7" w:rsidRPr="00000B6F" w:rsidRDefault="003776B7" w:rsidP="004A32C2">
            <w:pPr>
              <w:jc w:val="center"/>
              <w:rPr>
                <w:sz w:val="24"/>
              </w:rPr>
            </w:pPr>
          </w:p>
        </w:tc>
        <w:tc>
          <w:tcPr>
            <w:tcW w:w="1011" w:type="dxa"/>
            <w:vAlign w:val="center"/>
          </w:tcPr>
          <w:p w14:paraId="0BEC686A" w14:textId="77777777" w:rsidR="003776B7" w:rsidRPr="00000B6F" w:rsidRDefault="003776B7" w:rsidP="004A32C2">
            <w:pPr>
              <w:pStyle w:val="TableParagraph"/>
              <w:spacing w:before="197"/>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年資</w:t>
            </w:r>
          </w:p>
        </w:tc>
        <w:tc>
          <w:tcPr>
            <w:tcW w:w="3402" w:type="dxa"/>
            <w:vAlign w:val="center"/>
          </w:tcPr>
          <w:p w14:paraId="076E6FBF" w14:textId="77777777" w:rsidR="003776B7" w:rsidRPr="00000B6F" w:rsidRDefault="003776B7" w:rsidP="001730F8">
            <w:pPr>
              <w:pStyle w:val="TableParagraph"/>
              <w:spacing w:before="197"/>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每滿一年</w:t>
            </w:r>
          </w:p>
        </w:tc>
        <w:tc>
          <w:tcPr>
            <w:tcW w:w="3402" w:type="dxa"/>
            <w:gridSpan w:val="2"/>
            <w:vAlign w:val="center"/>
          </w:tcPr>
          <w:p w14:paraId="32C19F92" w14:textId="77777777" w:rsidR="003776B7" w:rsidRPr="00000B6F" w:rsidRDefault="003776B7" w:rsidP="001730F8">
            <w:pPr>
              <w:pStyle w:val="TableParagraph"/>
              <w:spacing w:before="197"/>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1</w:t>
            </w:r>
            <w:r w:rsidRPr="00000B6F">
              <w:rPr>
                <w:rFonts w:ascii="Times New Roman" w:eastAsia="標楷體" w:hAnsi="Times New Roman" w:cs="Times New Roman"/>
                <w:sz w:val="24"/>
                <w:szCs w:val="24"/>
              </w:rPr>
              <w:t>分</w:t>
            </w:r>
          </w:p>
        </w:tc>
        <w:tc>
          <w:tcPr>
            <w:tcW w:w="6520" w:type="dxa"/>
            <w:vAlign w:val="center"/>
          </w:tcPr>
          <w:p w14:paraId="49136BD2" w14:textId="77777777" w:rsidR="003776B7" w:rsidRPr="00000B6F" w:rsidRDefault="003776B7" w:rsidP="006A475E">
            <w:pPr>
              <w:pStyle w:val="TableParagraph"/>
              <w:numPr>
                <w:ilvl w:val="0"/>
                <w:numId w:val="2"/>
              </w:numPr>
              <w:spacing w:line="320" w:lineRule="exact"/>
              <w:ind w:leftChars="50" w:left="602" w:rightChars="50" w:right="120" w:hanging="482"/>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本項配分，最高以</w:t>
            </w:r>
            <w:r w:rsidRPr="00000B6F">
              <w:rPr>
                <w:rFonts w:ascii="Times New Roman" w:eastAsia="標楷體" w:hAnsi="Times New Roman" w:cs="Times New Roman"/>
                <w:sz w:val="24"/>
                <w:szCs w:val="24"/>
                <w:lang w:eastAsia="zh-TW"/>
              </w:rPr>
              <w:t>8</w:t>
            </w:r>
            <w:r w:rsidRPr="00000B6F">
              <w:rPr>
                <w:rFonts w:ascii="Times New Roman" w:eastAsia="標楷體" w:hAnsi="Times New Roman" w:cs="Times New Roman"/>
                <w:sz w:val="24"/>
                <w:szCs w:val="24"/>
                <w:lang w:eastAsia="zh-TW"/>
              </w:rPr>
              <w:t>分為限。</w:t>
            </w:r>
          </w:p>
          <w:p w14:paraId="091C3195" w14:textId="77777777" w:rsidR="003776B7" w:rsidRPr="00000B6F" w:rsidRDefault="003776B7" w:rsidP="006A475E">
            <w:pPr>
              <w:pStyle w:val="TableParagraph"/>
              <w:numPr>
                <w:ilvl w:val="0"/>
                <w:numId w:val="2"/>
              </w:numPr>
              <w:spacing w:line="320" w:lineRule="exact"/>
              <w:ind w:leftChars="50" w:left="602" w:rightChars="50" w:right="120" w:hanging="482"/>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以現職、同職務列等或同一陞遷序列職務期間之年資為限。又本表所稱現職、同職務列等或同一陞遷序列之職務，均包括權理期間，但不包含代理之職務。</w:t>
            </w:r>
          </w:p>
          <w:p w14:paraId="19A6CFE3" w14:textId="77777777" w:rsidR="003776B7" w:rsidRPr="00000B6F" w:rsidRDefault="003776B7" w:rsidP="006A475E">
            <w:pPr>
              <w:pStyle w:val="TableParagraph"/>
              <w:numPr>
                <w:ilvl w:val="0"/>
                <w:numId w:val="2"/>
              </w:numPr>
              <w:spacing w:line="320" w:lineRule="exact"/>
              <w:ind w:leftChars="50" w:left="602" w:rightChars="50" w:right="120" w:hanging="482"/>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尾數未滿半年者，核給</w:t>
            </w:r>
            <w:r w:rsidRPr="00000B6F">
              <w:rPr>
                <w:rFonts w:ascii="Times New Roman" w:eastAsia="標楷體" w:hAnsi="Times New Roman" w:cs="Times New Roman"/>
                <w:sz w:val="24"/>
                <w:szCs w:val="24"/>
                <w:lang w:eastAsia="zh-TW"/>
              </w:rPr>
              <w:t>0.5</w:t>
            </w:r>
            <w:r w:rsidRPr="00000B6F">
              <w:rPr>
                <w:rFonts w:ascii="Times New Roman" w:eastAsia="標楷體" w:hAnsi="Times New Roman" w:cs="Times New Roman"/>
                <w:sz w:val="24"/>
                <w:szCs w:val="24"/>
                <w:lang w:eastAsia="zh-TW"/>
              </w:rPr>
              <w:t>分；在半年以上，未滿一年者，以一年計算。</w:t>
            </w:r>
          </w:p>
          <w:p w14:paraId="2818DA77" w14:textId="178F77FB" w:rsidR="00B55DB7" w:rsidRPr="00E61988" w:rsidRDefault="003776B7" w:rsidP="00E61988">
            <w:pPr>
              <w:pStyle w:val="TableParagraph"/>
              <w:numPr>
                <w:ilvl w:val="0"/>
                <w:numId w:val="2"/>
              </w:numPr>
              <w:spacing w:line="320" w:lineRule="exact"/>
              <w:ind w:leftChars="50" w:left="602" w:rightChars="50" w:right="120" w:hanging="482"/>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曾任基層服務之同職務列等或同一陞遷序列職務年資，得視職缺之職責程度及業務性質，經甄審委員會審查後於本項配分上限內酌予加分。</w:t>
            </w:r>
          </w:p>
        </w:tc>
      </w:tr>
      <w:tr w:rsidR="000C788C" w:rsidRPr="00000B6F" w14:paraId="17FD432E" w14:textId="77777777" w:rsidTr="009B11F1">
        <w:trPr>
          <w:trHeight w:val="980"/>
        </w:trPr>
        <w:tc>
          <w:tcPr>
            <w:tcW w:w="1011" w:type="dxa"/>
            <w:vMerge w:val="restart"/>
            <w:vAlign w:val="center"/>
          </w:tcPr>
          <w:p w14:paraId="2D5F6868" w14:textId="77777777" w:rsidR="000C788C" w:rsidRPr="00000B6F" w:rsidRDefault="000C788C" w:rsidP="001730F8">
            <w:pPr>
              <w:jc w:val="center"/>
              <w:rPr>
                <w:rFonts w:eastAsia="標楷體"/>
                <w:sz w:val="24"/>
              </w:rPr>
            </w:pPr>
            <w:r w:rsidRPr="00000B6F">
              <w:rPr>
                <w:rFonts w:eastAsia="標楷體"/>
                <w:sz w:val="24"/>
              </w:rPr>
              <w:t>工作</w:t>
            </w:r>
          </w:p>
          <w:p w14:paraId="785D3DFE" w14:textId="540A6206" w:rsidR="000C788C" w:rsidRPr="00000B6F" w:rsidRDefault="000C788C" w:rsidP="001730F8">
            <w:pPr>
              <w:jc w:val="center"/>
              <w:rPr>
                <w:sz w:val="24"/>
              </w:rPr>
            </w:pPr>
            <w:r w:rsidRPr="00000B6F">
              <w:rPr>
                <w:rFonts w:eastAsia="標楷體"/>
                <w:sz w:val="24"/>
              </w:rPr>
              <w:t>績效</w:t>
            </w:r>
          </w:p>
        </w:tc>
        <w:tc>
          <w:tcPr>
            <w:tcW w:w="1011" w:type="dxa"/>
            <w:vMerge w:val="restart"/>
            <w:vAlign w:val="center"/>
          </w:tcPr>
          <w:p w14:paraId="2C202566" w14:textId="77777777" w:rsidR="000C788C" w:rsidRPr="00000B6F" w:rsidRDefault="000C788C" w:rsidP="001730F8">
            <w:pPr>
              <w:pStyle w:val="TableParagraph"/>
              <w:jc w:val="center"/>
              <w:rPr>
                <w:rFonts w:ascii="Times New Roman" w:eastAsia="標楷體" w:hAnsi="Times New Roman" w:cs="Times New Roman"/>
                <w:spacing w:val="-4"/>
                <w:sz w:val="24"/>
                <w:szCs w:val="24"/>
              </w:rPr>
            </w:pPr>
            <w:r w:rsidRPr="00000B6F">
              <w:rPr>
                <w:rFonts w:ascii="Times New Roman" w:eastAsia="標楷體" w:hAnsi="Times New Roman" w:cs="Times New Roman"/>
                <w:spacing w:val="-4"/>
                <w:sz w:val="24"/>
                <w:szCs w:val="24"/>
              </w:rPr>
              <w:t>考績（成）</w:t>
            </w:r>
          </w:p>
        </w:tc>
        <w:tc>
          <w:tcPr>
            <w:tcW w:w="3402" w:type="dxa"/>
            <w:vAlign w:val="center"/>
          </w:tcPr>
          <w:p w14:paraId="684771B9" w14:textId="77777777" w:rsidR="000C788C" w:rsidRPr="00000B6F" w:rsidRDefault="000C788C" w:rsidP="001730F8">
            <w:pPr>
              <w:pStyle w:val="TableParagraph"/>
              <w:jc w:val="center"/>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甲等</w:t>
            </w:r>
          </w:p>
        </w:tc>
        <w:tc>
          <w:tcPr>
            <w:tcW w:w="3402" w:type="dxa"/>
            <w:gridSpan w:val="2"/>
            <w:vAlign w:val="center"/>
          </w:tcPr>
          <w:p w14:paraId="17E2C4D7" w14:textId="77777777" w:rsidR="000C788C" w:rsidRPr="00000B6F" w:rsidRDefault="000C788C" w:rsidP="001730F8">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2</w:t>
            </w:r>
            <w:r w:rsidRPr="00000B6F">
              <w:rPr>
                <w:rFonts w:ascii="Times New Roman" w:eastAsia="標楷體" w:hAnsi="Times New Roman" w:cs="Times New Roman"/>
                <w:sz w:val="24"/>
                <w:szCs w:val="24"/>
              </w:rPr>
              <w:t>分</w:t>
            </w:r>
          </w:p>
        </w:tc>
        <w:tc>
          <w:tcPr>
            <w:tcW w:w="6520" w:type="dxa"/>
            <w:vMerge w:val="restart"/>
            <w:vAlign w:val="center"/>
          </w:tcPr>
          <w:p w14:paraId="71A61E88" w14:textId="77777777" w:rsidR="000C788C" w:rsidRPr="00000B6F" w:rsidRDefault="000C788C" w:rsidP="00FB7661">
            <w:pPr>
              <w:pStyle w:val="TableParagraph"/>
              <w:numPr>
                <w:ilvl w:val="0"/>
                <w:numId w:val="4"/>
              </w:numPr>
              <w:spacing w:line="320" w:lineRule="exact"/>
              <w:ind w:leftChars="50" w:left="602" w:rightChars="50" w:right="120" w:hanging="482"/>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本項配分，最高以</w:t>
            </w:r>
            <w:r w:rsidRPr="00000B6F">
              <w:rPr>
                <w:rFonts w:ascii="Times New Roman" w:eastAsia="標楷體" w:hAnsi="Times New Roman" w:cs="Times New Roman"/>
                <w:sz w:val="24"/>
                <w:szCs w:val="24"/>
                <w:lang w:eastAsia="zh-TW"/>
              </w:rPr>
              <w:t>10</w:t>
            </w:r>
            <w:r w:rsidRPr="00000B6F">
              <w:rPr>
                <w:rFonts w:ascii="Times New Roman" w:eastAsia="標楷體" w:hAnsi="Times New Roman" w:cs="Times New Roman"/>
                <w:sz w:val="24"/>
                <w:szCs w:val="24"/>
                <w:lang w:eastAsia="zh-TW"/>
              </w:rPr>
              <w:t>分為限。</w:t>
            </w:r>
          </w:p>
          <w:p w14:paraId="0CEE2A9D" w14:textId="77777777" w:rsidR="000C788C" w:rsidRPr="00000B6F" w:rsidRDefault="000C788C" w:rsidP="00FB7661">
            <w:pPr>
              <w:pStyle w:val="TableParagraph"/>
              <w:numPr>
                <w:ilvl w:val="0"/>
                <w:numId w:val="4"/>
              </w:numPr>
              <w:spacing w:line="320" w:lineRule="exact"/>
              <w:ind w:leftChars="50" w:left="602" w:rightChars="50" w:right="120" w:hanging="482"/>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以最近五年現職、同職務列等或同一陞遷序列職務期間經銓敘部審定之年終考績（成）為限。未經審定前，依機關長官覆核之考績（成）結果核計。</w:t>
            </w:r>
          </w:p>
          <w:p w14:paraId="27E58F65" w14:textId="77777777" w:rsidR="000C788C" w:rsidRPr="00000B6F" w:rsidRDefault="000C788C" w:rsidP="00FB7661">
            <w:pPr>
              <w:pStyle w:val="TableParagraph"/>
              <w:numPr>
                <w:ilvl w:val="0"/>
                <w:numId w:val="4"/>
              </w:numPr>
              <w:spacing w:line="320" w:lineRule="exact"/>
              <w:ind w:leftChars="50" w:left="602" w:rightChars="50" w:right="120" w:hanging="482"/>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考列丙等者，不予計分。</w:t>
            </w:r>
          </w:p>
          <w:p w14:paraId="2CBADEAC" w14:textId="77777777" w:rsidR="000C788C" w:rsidRPr="00000B6F" w:rsidRDefault="000C788C" w:rsidP="00FB7661">
            <w:pPr>
              <w:pStyle w:val="TableParagraph"/>
              <w:numPr>
                <w:ilvl w:val="0"/>
                <w:numId w:val="4"/>
              </w:numPr>
              <w:spacing w:line="320" w:lineRule="exact"/>
              <w:ind w:leftChars="50" w:left="602" w:rightChars="50" w:right="120" w:hanging="482"/>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另予考績（成）者，依評分標準折半計分。</w:t>
            </w:r>
          </w:p>
        </w:tc>
      </w:tr>
      <w:tr w:rsidR="000C788C" w:rsidRPr="00000B6F" w14:paraId="486CAFBC" w14:textId="77777777" w:rsidTr="009B11F1">
        <w:trPr>
          <w:trHeight w:val="980"/>
        </w:trPr>
        <w:tc>
          <w:tcPr>
            <w:tcW w:w="1011" w:type="dxa"/>
            <w:vMerge/>
            <w:vAlign w:val="center"/>
          </w:tcPr>
          <w:p w14:paraId="6A06F541" w14:textId="77777777" w:rsidR="000C788C" w:rsidRPr="00000B6F" w:rsidRDefault="000C788C" w:rsidP="001730F8">
            <w:pPr>
              <w:jc w:val="center"/>
              <w:rPr>
                <w:rFonts w:eastAsia="標楷體"/>
                <w:sz w:val="24"/>
                <w:lang w:eastAsia="zh-TW"/>
              </w:rPr>
            </w:pPr>
          </w:p>
        </w:tc>
        <w:tc>
          <w:tcPr>
            <w:tcW w:w="1011" w:type="dxa"/>
            <w:vMerge/>
            <w:vAlign w:val="center"/>
          </w:tcPr>
          <w:p w14:paraId="27FBABA3" w14:textId="77777777" w:rsidR="000C788C" w:rsidRPr="00000B6F" w:rsidRDefault="000C788C" w:rsidP="001730F8">
            <w:pPr>
              <w:pStyle w:val="TableParagraph"/>
              <w:jc w:val="center"/>
              <w:rPr>
                <w:rFonts w:ascii="Times New Roman" w:eastAsia="標楷體" w:hAnsi="Times New Roman" w:cs="Times New Roman"/>
                <w:sz w:val="24"/>
                <w:szCs w:val="24"/>
                <w:lang w:eastAsia="zh-TW"/>
              </w:rPr>
            </w:pPr>
          </w:p>
        </w:tc>
        <w:tc>
          <w:tcPr>
            <w:tcW w:w="3402" w:type="dxa"/>
            <w:vAlign w:val="center"/>
          </w:tcPr>
          <w:p w14:paraId="7CF44AB4" w14:textId="77777777" w:rsidR="000C788C" w:rsidRPr="00000B6F" w:rsidRDefault="000C788C" w:rsidP="001730F8">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lang w:eastAsia="zh-TW"/>
              </w:rPr>
              <w:t>乙等</w:t>
            </w:r>
          </w:p>
        </w:tc>
        <w:tc>
          <w:tcPr>
            <w:tcW w:w="3402" w:type="dxa"/>
            <w:gridSpan w:val="2"/>
            <w:vAlign w:val="center"/>
          </w:tcPr>
          <w:p w14:paraId="42E2C7F6" w14:textId="77777777" w:rsidR="000C788C" w:rsidRPr="00000B6F" w:rsidRDefault="000C788C" w:rsidP="001730F8">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1.6</w:t>
            </w:r>
            <w:r w:rsidRPr="00000B6F">
              <w:rPr>
                <w:rFonts w:ascii="Times New Roman" w:eastAsia="標楷體" w:hAnsi="Times New Roman" w:cs="Times New Roman"/>
                <w:sz w:val="24"/>
                <w:szCs w:val="24"/>
              </w:rPr>
              <w:t>分</w:t>
            </w:r>
          </w:p>
        </w:tc>
        <w:tc>
          <w:tcPr>
            <w:tcW w:w="6520" w:type="dxa"/>
            <w:vMerge/>
            <w:vAlign w:val="center"/>
          </w:tcPr>
          <w:p w14:paraId="111E09DA" w14:textId="77777777" w:rsidR="000C788C" w:rsidRPr="00000B6F" w:rsidRDefault="000C788C" w:rsidP="001730F8">
            <w:pPr>
              <w:pStyle w:val="TableParagraph"/>
              <w:spacing w:line="360" w:lineRule="exact"/>
              <w:ind w:leftChars="50" w:left="120" w:rightChars="50" w:right="120"/>
              <w:jc w:val="both"/>
              <w:rPr>
                <w:rFonts w:ascii="Times New Roman" w:eastAsia="標楷體" w:hAnsi="Times New Roman" w:cs="Times New Roman"/>
                <w:sz w:val="24"/>
                <w:szCs w:val="24"/>
                <w:lang w:eastAsia="zh-TW"/>
              </w:rPr>
            </w:pPr>
          </w:p>
        </w:tc>
      </w:tr>
      <w:tr w:rsidR="000C788C" w:rsidRPr="00000B6F" w14:paraId="2EF7F834" w14:textId="77777777" w:rsidTr="009B11F1">
        <w:trPr>
          <w:trHeight w:val="824"/>
        </w:trPr>
        <w:tc>
          <w:tcPr>
            <w:tcW w:w="1011" w:type="dxa"/>
            <w:vMerge/>
            <w:vAlign w:val="center"/>
          </w:tcPr>
          <w:p w14:paraId="0C9E9A57" w14:textId="77777777" w:rsidR="000C788C" w:rsidRPr="00000B6F" w:rsidRDefault="000C788C" w:rsidP="001730F8">
            <w:pPr>
              <w:jc w:val="center"/>
              <w:rPr>
                <w:rFonts w:eastAsia="標楷體"/>
                <w:sz w:val="24"/>
              </w:rPr>
            </w:pPr>
          </w:p>
        </w:tc>
        <w:tc>
          <w:tcPr>
            <w:tcW w:w="1011" w:type="dxa"/>
            <w:vMerge w:val="restart"/>
            <w:vAlign w:val="center"/>
          </w:tcPr>
          <w:p w14:paraId="3B93A351" w14:textId="77777777" w:rsidR="000C788C" w:rsidRPr="00000B6F" w:rsidRDefault="000C788C" w:rsidP="001730F8">
            <w:pPr>
              <w:pStyle w:val="TableParagraph"/>
              <w:jc w:val="center"/>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獎懲</w:t>
            </w:r>
          </w:p>
        </w:tc>
        <w:tc>
          <w:tcPr>
            <w:tcW w:w="3402" w:type="dxa"/>
            <w:vAlign w:val="center"/>
          </w:tcPr>
          <w:p w14:paraId="29ED3E9B" w14:textId="77777777" w:rsidR="000C788C" w:rsidRPr="00000B6F" w:rsidRDefault="000C788C" w:rsidP="001730F8">
            <w:pPr>
              <w:pStyle w:val="TableParagraph"/>
              <w:jc w:val="center"/>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rPr>
              <w:t>嘉獎（申誡）</w:t>
            </w:r>
            <w:r w:rsidRPr="00000B6F">
              <w:rPr>
                <w:rFonts w:ascii="Times New Roman" w:eastAsia="標楷體" w:hAnsi="Times New Roman" w:cs="Times New Roman"/>
                <w:sz w:val="24"/>
                <w:szCs w:val="24"/>
              </w:rPr>
              <w:t>1</w:t>
            </w:r>
            <w:r w:rsidRPr="00000B6F">
              <w:rPr>
                <w:rFonts w:ascii="Times New Roman" w:eastAsia="標楷體" w:hAnsi="Times New Roman" w:cs="Times New Roman"/>
                <w:sz w:val="24"/>
                <w:szCs w:val="24"/>
              </w:rPr>
              <w:t>次</w:t>
            </w:r>
          </w:p>
        </w:tc>
        <w:tc>
          <w:tcPr>
            <w:tcW w:w="3402" w:type="dxa"/>
            <w:gridSpan w:val="2"/>
            <w:vAlign w:val="center"/>
          </w:tcPr>
          <w:p w14:paraId="0D879488" w14:textId="77777777" w:rsidR="000C788C" w:rsidRPr="00000B6F" w:rsidRDefault="000C788C" w:rsidP="001730F8">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0.1</w:t>
            </w:r>
            <w:r w:rsidRPr="00000B6F">
              <w:rPr>
                <w:rFonts w:ascii="Times New Roman" w:eastAsia="標楷體" w:hAnsi="Times New Roman" w:cs="Times New Roman"/>
                <w:sz w:val="24"/>
                <w:szCs w:val="24"/>
              </w:rPr>
              <w:t>分</w:t>
            </w:r>
          </w:p>
        </w:tc>
        <w:tc>
          <w:tcPr>
            <w:tcW w:w="6520" w:type="dxa"/>
            <w:vMerge w:val="restart"/>
            <w:vAlign w:val="center"/>
          </w:tcPr>
          <w:p w14:paraId="2559DF2E" w14:textId="77777777" w:rsidR="000C788C" w:rsidRPr="00000B6F" w:rsidRDefault="000C788C" w:rsidP="00FB7661">
            <w:pPr>
              <w:pStyle w:val="TableParagraph"/>
              <w:numPr>
                <w:ilvl w:val="0"/>
                <w:numId w:val="5"/>
              </w:numPr>
              <w:spacing w:line="320" w:lineRule="exact"/>
              <w:ind w:leftChars="50" w:left="687" w:rightChars="50" w:right="120" w:hanging="567"/>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本項配分，擬任非主管職務最高以</w:t>
            </w:r>
            <w:r w:rsidRPr="00000B6F">
              <w:rPr>
                <w:rFonts w:ascii="Times New Roman" w:eastAsia="標楷體" w:hAnsi="Times New Roman" w:cs="Times New Roman"/>
                <w:sz w:val="24"/>
                <w:szCs w:val="24"/>
                <w:lang w:eastAsia="zh-TW"/>
              </w:rPr>
              <w:t>8</w:t>
            </w:r>
            <w:r w:rsidRPr="00000B6F">
              <w:rPr>
                <w:rFonts w:ascii="Times New Roman" w:eastAsia="標楷體" w:hAnsi="Times New Roman" w:cs="Times New Roman"/>
                <w:sz w:val="24"/>
                <w:szCs w:val="24"/>
                <w:lang w:eastAsia="zh-TW"/>
              </w:rPr>
              <w:t>分為限，擬任主管職務最高以</w:t>
            </w:r>
            <w:r w:rsidRPr="00000B6F">
              <w:rPr>
                <w:rFonts w:ascii="Times New Roman" w:eastAsia="標楷體" w:hAnsi="Times New Roman" w:cs="Times New Roman"/>
                <w:sz w:val="24"/>
                <w:szCs w:val="24"/>
                <w:lang w:eastAsia="zh-TW"/>
              </w:rPr>
              <w:t>5</w:t>
            </w:r>
            <w:r w:rsidRPr="00000B6F">
              <w:rPr>
                <w:rFonts w:ascii="Times New Roman" w:eastAsia="標楷體" w:hAnsi="Times New Roman" w:cs="Times New Roman"/>
                <w:sz w:val="24"/>
                <w:szCs w:val="24"/>
                <w:lang w:eastAsia="zh-TW"/>
              </w:rPr>
              <w:t>分為限。</w:t>
            </w:r>
          </w:p>
          <w:p w14:paraId="03D39CEA" w14:textId="77777777" w:rsidR="000C788C" w:rsidRPr="00000B6F" w:rsidRDefault="000C788C" w:rsidP="00FB7661">
            <w:pPr>
              <w:pStyle w:val="TableParagraph"/>
              <w:numPr>
                <w:ilvl w:val="0"/>
                <w:numId w:val="5"/>
              </w:numPr>
              <w:spacing w:line="320" w:lineRule="exact"/>
              <w:ind w:leftChars="50" w:left="687" w:rightChars="50" w:right="120" w:hanging="567"/>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以最近五年內（自辦理陞任甄審當月上溯計算）現職、同職務列等或同一陞遷序列職務期間已核定發布之獎懲為限，並按個別獎勵案件之額度核予計分。</w:t>
            </w:r>
          </w:p>
          <w:p w14:paraId="68376F22" w14:textId="77777777" w:rsidR="000C788C" w:rsidRPr="00000B6F" w:rsidRDefault="000C788C" w:rsidP="00FB7661">
            <w:pPr>
              <w:pStyle w:val="TableParagraph"/>
              <w:numPr>
                <w:ilvl w:val="0"/>
                <w:numId w:val="5"/>
              </w:numPr>
              <w:spacing w:line="320" w:lineRule="exact"/>
              <w:ind w:leftChars="50" w:left="687" w:rightChars="50" w:right="120" w:hanging="567"/>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最近五年內（自辦理陞任甄審當月上溯計算曾受懲戒處分者，除依「公務人員陞遷法」第十二條規定期間不得陞任外，「申誡」比照「記過</w:t>
            </w:r>
            <w:r w:rsidRPr="00000B6F">
              <w:rPr>
                <w:rFonts w:ascii="Times New Roman" w:eastAsia="標楷體" w:hAnsi="Times New Roman" w:cs="Times New Roman"/>
                <w:sz w:val="24"/>
                <w:szCs w:val="24"/>
                <w:lang w:eastAsia="zh-TW"/>
              </w:rPr>
              <w:t>1</w:t>
            </w:r>
            <w:r w:rsidRPr="00000B6F">
              <w:rPr>
                <w:rFonts w:ascii="Times New Roman" w:eastAsia="標楷體" w:hAnsi="Times New Roman" w:cs="Times New Roman"/>
                <w:sz w:val="24"/>
                <w:szCs w:val="24"/>
                <w:lang w:eastAsia="zh-TW"/>
              </w:rPr>
              <w:t>次」減</w:t>
            </w:r>
            <w:r w:rsidRPr="00000B6F">
              <w:rPr>
                <w:rFonts w:ascii="Times New Roman" w:eastAsia="標楷體" w:hAnsi="Times New Roman" w:cs="Times New Roman"/>
                <w:sz w:val="24"/>
                <w:szCs w:val="24"/>
                <w:lang w:eastAsia="zh-TW"/>
              </w:rPr>
              <w:t>0.5</w:t>
            </w:r>
            <w:r w:rsidRPr="00000B6F">
              <w:rPr>
                <w:rFonts w:ascii="Times New Roman" w:eastAsia="標楷體" w:hAnsi="Times New Roman" w:cs="Times New Roman"/>
                <w:sz w:val="24"/>
                <w:szCs w:val="24"/>
                <w:lang w:eastAsia="zh-TW"/>
              </w:rPr>
              <w:t>分，「記過」、「罰款」、「減俸」比照「記過</w:t>
            </w:r>
            <w:r w:rsidRPr="00000B6F">
              <w:rPr>
                <w:rFonts w:ascii="Times New Roman" w:eastAsia="標楷體" w:hAnsi="Times New Roman" w:cs="Times New Roman"/>
                <w:sz w:val="24"/>
                <w:szCs w:val="24"/>
                <w:lang w:eastAsia="zh-TW"/>
              </w:rPr>
              <w:t>2</w:t>
            </w:r>
            <w:r w:rsidRPr="00000B6F">
              <w:rPr>
                <w:rFonts w:ascii="Times New Roman" w:eastAsia="標楷體" w:hAnsi="Times New Roman" w:cs="Times New Roman"/>
                <w:sz w:val="24"/>
                <w:szCs w:val="24"/>
                <w:lang w:eastAsia="zh-TW"/>
              </w:rPr>
              <w:t>次」減</w:t>
            </w:r>
            <w:r w:rsidRPr="00000B6F">
              <w:rPr>
                <w:rFonts w:ascii="Times New Roman" w:eastAsia="標楷體" w:hAnsi="Times New Roman" w:cs="Times New Roman"/>
                <w:sz w:val="24"/>
                <w:szCs w:val="24"/>
                <w:lang w:eastAsia="zh-TW"/>
              </w:rPr>
              <w:t>1.2</w:t>
            </w:r>
            <w:r w:rsidRPr="00000B6F">
              <w:rPr>
                <w:rFonts w:ascii="Times New Roman" w:eastAsia="標楷體" w:hAnsi="Times New Roman" w:cs="Times New Roman"/>
                <w:sz w:val="24"/>
                <w:szCs w:val="24"/>
                <w:lang w:eastAsia="zh-TW"/>
              </w:rPr>
              <w:t>分，「降級」、「休職」比照「記大過</w:t>
            </w:r>
            <w:r w:rsidRPr="00000B6F">
              <w:rPr>
                <w:rFonts w:ascii="Times New Roman" w:eastAsia="標楷體" w:hAnsi="Times New Roman" w:cs="Times New Roman"/>
                <w:sz w:val="24"/>
                <w:szCs w:val="24"/>
                <w:lang w:eastAsia="zh-TW"/>
              </w:rPr>
              <w:t>1</w:t>
            </w:r>
            <w:r w:rsidRPr="00000B6F">
              <w:rPr>
                <w:rFonts w:ascii="Times New Roman" w:eastAsia="標楷體" w:hAnsi="Times New Roman" w:cs="Times New Roman"/>
                <w:sz w:val="24"/>
                <w:szCs w:val="24"/>
                <w:lang w:eastAsia="zh-TW"/>
              </w:rPr>
              <w:t>次」減</w:t>
            </w:r>
            <w:r w:rsidRPr="00000B6F">
              <w:rPr>
                <w:rFonts w:ascii="Times New Roman" w:eastAsia="標楷體" w:hAnsi="Times New Roman" w:cs="Times New Roman"/>
                <w:sz w:val="24"/>
                <w:szCs w:val="24"/>
                <w:lang w:eastAsia="zh-TW"/>
              </w:rPr>
              <w:t>2</w:t>
            </w:r>
            <w:r w:rsidRPr="00000B6F">
              <w:rPr>
                <w:rFonts w:ascii="Times New Roman" w:eastAsia="標楷體" w:hAnsi="Times New Roman" w:cs="Times New Roman"/>
                <w:sz w:val="24"/>
                <w:szCs w:val="24"/>
                <w:lang w:eastAsia="zh-TW"/>
              </w:rPr>
              <w:t>分；如有併為處分之情形時，擇一從重減分。</w:t>
            </w:r>
          </w:p>
          <w:p w14:paraId="31AF590C" w14:textId="77777777" w:rsidR="000C788C" w:rsidRPr="00000B6F" w:rsidRDefault="000C788C" w:rsidP="00FB7661">
            <w:pPr>
              <w:pStyle w:val="TableParagraph"/>
              <w:numPr>
                <w:ilvl w:val="0"/>
                <w:numId w:val="5"/>
              </w:numPr>
              <w:spacing w:line="320" w:lineRule="exact"/>
              <w:ind w:leftChars="50" w:left="687" w:rightChars="50" w:right="120" w:hanging="567"/>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按左列標準獎加懲減，其結果如產生負分時，應倒扣總分。</w:t>
            </w:r>
          </w:p>
        </w:tc>
      </w:tr>
      <w:tr w:rsidR="000C788C" w:rsidRPr="00000B6F" w14:paraId="19F7B425" w14:textId="77777777" w:rsidTr="009B11F1">
        <w:trPr>
          <w:trHeight w:val="824"/>
        </w:trPr>
        <w:tc>
          <w:tcPr>
            <w:tcW w:w="1011" w:type="dxa"/>
            <w:vMerge/>
            <w:vAlign w:val="center"/>
          </w:tcPr>
          <w:p w14:paraId="79F9AA5E" w14:textId="77777777" w:rsidR="000C788C" w:rsidRPr="00000B6F" w:rsidRDefault="000C788C" w:rsidP="001730F8">
            <w:pPr>
              <w:jc w:val="center"/>
              <w:rPr>
                <w:rFonts w:eastAsia="標楷體"/>
                <w:sz w:val="24"/>
                <w:lang w:eastAsia="zh-TW"/>
              </w:rPr>
            </w:pPr>
          </w:p>
        </w:tc>
        <w:tc>
          <w:tcPr>
            <w:tcW w:w="1011" w:type="dxa"/>
            <w:vMerge/>
            <w:vAlign w:val="center"/>
          </w:tcPr>
          <w:p w14:paraId="7A09E349" w14:textId="77777777" w:rsidR="000C788C" w:rsidRPr="00000B6F" w:rsidRDefault="000C788C" w:rsidP="001730F8">
            <w:pPr>
              <w:pStyle w:val="TableParagraph"/>
              <w:jc w:val="center"/>
              <w:rPr>
                <w:rFonts w:ascii="Times New Roman" w:eastAsia="標楷體" w:hAnsi="Times New Roman" w:cs="Times New Roman"/>
                <w:sz w:val="24"/>
                <w:szCs w:val="24"/>
                <w:lang w:eastAsia="zh-TW"/>
              </w:rPr>
            </w:pPr>
          </w:p>
        </w:tc>
        <w:tc>
          <w:tcPr>
            <w:tcW w:w="3402" w:type="dxa"/>
            <w:vAlign w:val="center"/>
          </w:tcPr>
          <w:p w14:paraId="6861738F" w14:textId="77777777" w:rsidR="000C788C" w:rsidRPr="00000B6F" w:rsidRDefault="000C788C" w:rsidP="001730F8">
            <w:pPr>
              <w:pStyle w:val="TableParagraph"/>
              <w:jc w:val="center"/>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rPr>
              <w:t>嘉獎（申誡）</w:t>
            </w:r>
            <w:r w:rsidRPr="00000B6F">
              <w:rPr>
                <w:rFonts w:ascii="Times New Roman" w:eastAsia="標楷體" w:hAnsi="Times New Roman" w:cs="Times New Roman"/>
                <w:sz w:val="24"/>
                <w:szCs w:val="24"/>
              </w:rPr>
              <w:t>2</w:t>
            </w:r>
            <w:r w:rsidRPr="00000B6F">
              <w:rPr>
                <w:rFonts w:ascii="Times New Roman" w:eastAsia="標楷體" w:hAnsi="Times New Roman" w:cs="Times New Roman"/>
                <w:sz w:val="24"/>
                <w:szCs w:val="24"/>
              </w:rPr>
              <w:t>次</w:t>
            </w:r>
          </w:p>
        </w:tc>
        <w:tc>
          <w:tcPr>
            <w:tcW w:w="3402" w:type="dxa"/>
            <w:gridSpan w:val="2"/>
            <w:vAlign w:val="center"/>
          </w:tcPr>
          <w:p w14:paraId="7D9B2184" w14:textId="77777777" w:rsidR="000C788C" w:rsidRPr="00000B6F" w:rsidRDefault="000C788C" w:rsidP="001730F8">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0.3</w:t>
            </w:r>
            <w:r w:rsidRPr="00000B6F">
              <w:rPr>
                <w:rFonts w:ascii="Times New Roman" w:eastAsia="標楷體" w:hAnsi="Times New Roman" w:cs="Times New Roman"/>
                <w:sz w:val="24"/>
                <w:szCs w:val="24"/>
              </w:rPr>
              <w:t>分</w:t>
            </w:r>
          </w:p>
        </w:tc>
        <w:tc>
          <w:tcPr>
            <w:tcW w:w="6520" w:type="dxa"/>
            <w:vMerge/>
            <w:vAlign w:val="center"/>
          </w:tcPr>
          <w:p w14:paraId="4361CCB9" w14:textId="77777777" w:rsidR="000C788C" w:rsidRPr="00000B6F" w:rsidRDefault="000C788C" w:rsidP="001730F8">
            <w:pPr>
              <w:pStyle w:val="TableParagraph"/>
              <w:spacing w:line="360" w:lineRule="exact"/>
              <w:ind w:rightChars="20" w:right="48"/>
              <w:jc w:val="both"/>
              <w:rPr>
                <w:rFonts w:ascii="Times New Roman" w:eastAsia="標楷體" w:hAnsi="Times New Roman" w:cs="Times New Roman"/>
                <w:sz w:val="24"/>
                <w:szCs w:val="24"/>
                <w:lang w:eastAsia="zh-TW"/>
              </w:rPr>
            </w:pPr>
          </w:p>
        </w:tc>
      </w:tr>
      <w:tr w:rsidR="000C788C" w:rsidRPr="00000B6F" w14:paraId="25FBEAEC" w14:textId="77777777" w:rsidTr="009B11F1">
        <w:trPr>
          <w:trHeight w:val="824"/>
        </w:trPr>
        <w:tc>
          <w:tcPr>
            <w:tcW w:w="1011" w:type="dxa"/>
            <w:vMerge/>
            <w:vAlign w:val="center"/>
          </w:tcPr>
          <w:p w14:paraId="4EC6A83D" w14:textId="77777777" w:rsidR="000C788C" w:rsidRPr="00000B6F" w:rsidRDefault="000C788C" w:rsidP="001730F8">
            <w:pPr>
              <w:jc w:val="center"/>
              <w:rPr>
                <w:rFonts w:eastAsia="標楷體"/>
                <w:sz w:val="24"/>
              </w:rPr>
            </w:pPr>
          </w:p>
        </w:tc>
        <w:tc>
          <w:tcPr>
            <w:tcW w:w="1011" w:type="dxa"/>
            <w:vMerge/>
            <w:vAlign w:val="center"/>
          </w:tcPr>
          <w:p w14:paraId="3630F9DD" w14:textId="77777777" w:rsidR="000C788C" w:rsidRPr="00000B6F" w:rsidRDefault="000C788C" w:rsidP="001730F8">
            <w:pPr>
              <w:pStyle w:val="TableParagraph"/>
              <w:jc w:val="center"/>
              <w:rPr>
                <w:rFonts w:ascii="Times New Roman" w:eastAsia="標楷體" w:hAnsi="Times New Roman" w:cs="Times New Roman"/>
                <w:sz w:val="24"/>
                <w:szCs w:val="24"/>
                <w:lang w:eastAsia="zh-TW"/>
              </w:rPr>
            </w:pPr>
          </w:p>
        </w:tc>
        <w:tc>
          <w:tcPr>
            <w:tcW w:w="3402" w:type="dxa"/>
            <w:vAlign w:val="center"/>
          </w:tcPr>
          <w:p w14:paraId="0FEE54A0" w14:textId="77777777" w:rsidR="000C788C" w:rsidRPr="00000B6F" w:rsidRDefault="000C788C" w:rsidP="001730F8">
            <w:pPr>
              <w:pStyle w:val="TableParagraph"/>
              <w:jc w:val="center"/>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rPr>
              <w:t>記功（記過）</w:t>
            </w:r>
            <w:r w:rsidRPr="00000B6F">
              <w:rPr>
                <w:rFonts w:ascii="Times New Roman" w:eastAsia="標楷體" w:hAnsi="Times New Roman" w:cs="Times New Roman"/>
                <w:sz w:val="24"/>
                <w:szCs w:val="24"/>
              </w:rPr>
              <w:t>1</w:t>
            </w:r>
            <w:r w:rsidRPr="00000B6F">
              <w:rPr>
                <w:rFonts w:ascii="Times New Roman" w:eastAsia="標楷體" w:hAnsi="Times New Roman" w:cs="Times New Roman"/>
                <w:sz w:val="24"/>
                <w:szCs w:val="24"/>
              </w:rPr>
              <w:t>次</w:t>
            </w:r>
          </w:p>
        </w:tc>
        <w:tc>
          <w:tcPr>
            <w:tcW w:w="3402" w:type="dxa"/>
            <w:gridSpan w:val="2"/>
            <w:vAlign w:val="center"/>
          </w:tcPr>
          <w:p w14:paraId="45314096" w14:textId="77777777" w:rsidR="000C788C" w:rsidRPr="00000B6F" w:rsidRDefault="000C788C" w:rsidP="001730F8">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0.5</w:t>
            </w:r>
            <w:r w:rsidRPr="00000B6F">
              <w:rPr>
                <w:rFonts w:ascii="Times New Roman" w:eastAsia="標楷體" w:hAnsi="Times New Roman" w:cs="Times New Roman"/>
                <w:sz w:val="24"/>
                <w:szCs w:val="24"/>
              </w:rPr>
              <w:t>分</w:t>
            </w:r>
          </w:p>
        </w:tc>
        <w:tc>
          <w:tcPr>
            <w:tcW w:w="6520" w:type="dxa"/>
            <w:vMerge/>
            <w:vAlign w:val="center"/>
          </w:tcPr>
          <w:p w14:paraId="0D8798C1" w14:textId="77777777" w:rsidR="000C788C" w:rsidRPr="00000B6F" w:rsidRDefault="000C788C" w:rsidP="001730F8">
            <w:pPr>
              <w:pStyle w:val="TableParagraph"/>
              <w:spacing w:line="360" w:lineRule="exact"/>
              <w:ind w:rightChars="20" w:right="48"/>
              <w:jc w:val="both"/>
              <w:rPr>
                <w:rFonts w:ascii="Times New Roman" w:eastAsia="標楷體" w:hAnsi="Times New Roman" w:cs="Times New Roman"/>
                <w:sz w:val="24"/>
                <w:szCs w:val="24"/>
                <w:lang w:eastAsia="zh-TW"/>
              </w:rPr>
            </w:pPr>
          </w:p>
        </w:tc>
      </w:tr>
      <w:tr w:rsidR="000C788C" w:rsidRPr="00000B6F" w14:paraId="60F54DB6" w14:textId="77777777" w:rsidTr="009B11F1">
        <w:trPr>
          <w:trHeight w:val="824"/>
        </w:trPr>
        <w:tc>
          <w:tcPr>
            <w:tcW w:w="1011" w:type="dxa"/>
            <w:vMerge/>
            <w:vAlign w:val="center"/>
          </w:tcPr>
          <w:p w14:paraId="4C702C29" w14:textId="77777777" w:rsidR="000C788C" w:rsidRPr="00000B6F" w:rsidRDefault="000C788C" w:rsidP="001730F8">
            <w:pPr>
              <w:jc w:val="center"/>
              <w:rPr>
                <w:rFonts w:eastAsia="標楷體"/>
                <w:sz w:val="24"/>
              </w:rPr>
            </w:pPr>
          </w:p>
        </w:tc>
        <w:tc>
          <w:tcPr>
            <w:tcW w:w="1011" w:type="dxa"/>
            <w:vMerge/>
            <w:vAlign w:val="center"/>
          </w:tcPr>
          <w:p w14:paraId="065B053A" w14:textId="77777777" w:rsidR="000C788C" w:rsidRPr="00000B6F" w:rsidRDefault="000C788C" w:rsidP="001730F8">
            <w:pPr>
              <w:pStyle w:val="TableParagraph"/>
              <w:jc w:val="center"/>
              <w:rPr>
                <w:rFonts w:ascii="Times New Roman" w:eastAsia="標楷體" w:hAnsi="Times New Roman" w:cs="Times New Roman"/>
                <w:sz w:val="24"/>
                <w:szCs w:val="24"/>
                <w:lang w:eastAsia="zh-TW"/>
              </w:rPr>
            </w:pPr>
          </w:p>
        </w:tc>
        <w:tc>
          <w:tcPr>
            <w:tcW w:w="3402" w:type="dxa"/>
            <w:vAlign w:val="center"/>
          </w:tcPr>
          <w:p w14:paraId="6CE43DDC" w14:textId="77777777" w:rsidR="000C788C" w:rsidRPr="00000B6F" w:rsidRDefault="000C788C" w:rsidP="001730F8">
            <w:pPr>
              <w:pStyle w:val="TableParagraph"/>
              <w:jc w:val="center"/>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rPr>
              <w:t>記功（記過）</w:t>
            </w:r>
            <w:r w:rsidRPr="00000B6F">
              <w:rPr>
                <w:rFonts w:ascii="Times New Roman" w:eastAsia="標楷體" w:hAnsi="Times New Roman" w:cs="Times New Roman"/>
                <w:sz w:val="24"/>
                <w:szCs w:val="24"/>
              </w:rPr>
              <w:t>2</w:t>
            </w:r>
            <w:r w:rsidRPr="00000B6F">
              <w:rPr>
                <w:rFonts w:ascii="Times New Roman" w:eastAsia="標楷體" w:hAnsi="Times New Roman" w:cs="Times New Roman"/>
                <w:sz w:val="24"/>
                <w:szCs w:val="24"/>
              </w:rPr>
              <w:t>次</w:t>
            </w:r>
          </w:p>
        </w:tc>
        <w:tc>
          <w:tcPr>
            <w:tcW w:w="3402" w:type="dxa"/>
            <w:gridSpan w:val="2"/>
            <w:vAlign w:val="center"/>
          </w:tcPr>
          <w:p w14:paraId="0B261F2E" w14:textId="77777777" w:rsidR="000C788C" w:rsidRPr="00000B6F" w:rsidRDefault="000C788C" w:rsidP="001730F8">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1.2</w:t>
            </w:r>
            <w:r w:rsidRPr="00000B6F">
              <w:rPr>
                <w:rFonts w:ascii="Times New Roman" w:eastAsia="標楷體" w:hAnsi="Times New Roman" w:cs="Times New Roman"/>
                <w:sz w:val="24"/>
                <w:szCs w:val="24"/>
              </w:rPr>
              <w:t>分</w:t>
            </w:r>
          </w:p>
        </w:tc>
        <w:tc>
          <w:tcPr>
            <w:tcW w:w="6520" w:type="dxa"/>
            <w:vMerge/>
            <w:vAlign w:val="center"/>
          </w:tcPr>
          <w:p w14:paraId="5086DDBC" w14:textId="77777777" w:rsidR="000C788C" w:rsidRPr="00000B6F" w:rsidRDefault="000C788C" w:rsidP="001730F8">
            <w:pPr>
              <w:pStyle w:val="TableParagraph"/>
              <w:spacing w:line="360" w:lineRule="exact"/>
              <w:ind w:rightChars="20" w:right="48"/>
              <w:jc w:val="both"/>
              <w:rPr>
                <w:rFonts w:ascii="Times New Roman" w:eastAsia="標楷體" w:hAnsi="Times New Roman" w:cs="Times New Roman"/>
                <w:sz w:val="24"/>
                <w:szCs w:val="24"/>
                <w:lang w:eastAsia="zh-TW"/>
              </w:rPr>
            </w:pPr>
          </w:p>
        </w:tc>
      </w:tr>
      <w:tr w:rsidR="000C788C" w:rsidRPr="00000B6F" w14:paraId="52B8EFBA" w14:textId="77777777" w:rsidTr="009B11F1">
        <w:trPr>
          <w:trHeight w:val="824"/>
        </w:trPr>
        <w:tc>
          <w:tcPr>
            <w:tcW w:w="1011" w:type="dxa"/>
            <w:vMerge/>
            <w:vAlign w:val="center"/>
          </w:tcPr>
          <w:p w14:paraId="3DB325D8" w14:textId="77777777" w:rsidR="000C788C" w:rsidRPr="00000B6F" w:rsidRDefault="000C788C" w:rsidP="001730F8">
            <w:pPr>
              <w:jc w:val="center"/>
              <w:rPr>
                <w:rFonts w:eastAsia="標楷體"/>
                <w:sz w:val="24"/>
              </w:rPr>
            </w:pPr>
          </w:p>
        </w:tc>
        <w:tc>
          <w:tcPr>
            <w:tcW w:w="1011" w:type="dxa"/>
            <w:vMerge/>
            <w:vAlign w:val="center"/>
          </w:tcPr>
          <w:p w14:paraId="1CBFAA6F" w14:textId="77777777" w:rsidR="000C788C" w:rsidRPr="00000B6F" w:rsidRDefault="000C788C" w:rsidP="001730F8">
            <w:pPr>
              <w:pStyle w:val="TableParagraph"/>
              <w:jc w:val="center"/>
              <w:rPr>
                <w:rFonts w:ascii="Times New Roman" w:eastAsia="標楷體" w:hAnsi="Times New Roman" w:cs="Times New Roman"/>
                <w:sz w:val="24"/>
                <w:szCs w:val="24"/>
                <w:lang w:eastAsia="zh-TW"/>
              </w:rPr>
            </w:pPr>
          </w:p>
        </w:tc>
        <w:tc>
          <w:tcPr>
            <w:tcW w:w="3402" w:type="dxa"/>
            <w:vAlign w:val="center"/>
          </w:tcPr>
          <w:p w14:paraId="7FFA2B6D" w14:textId="77777777" w:rsidR="000C788C" w:rsidRPr="00000B6F" w:rsidRDefault="000C788C" w:rsidP="001730F8">
            <w:pPr>
              <w:pStyle w:val="TableParagraph"/>
              <w:jc w:val="center"/>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記大功（記大過）</w:t>
            </w:r>
            <w:r w:rsidRPr="00000B6F">
              <w:rPr>
                <w:rFonts w:ascii="Times New Roman" w:eastAsia="標楷體" w:hAnsi="Times New Roman" w:cs="Times New Roman"/>
                <w:sz w:val="24"/>
                <w:szCs w:val="24"/>
                <w:lang w:eastAsia="zh-TW"/>
              </w:rPr>
              <w:t>1</w:t>
            </w:r>
            <w:r w:rsidRPr="00000B6F">
              <w:rPr>
                <w:rFonts w:ascii="Times New Roman" w:eastAsia="標楷體" w:hAnsi="Times New Roman" w:cs="Times New Roman"/>
                <w:sz w:val="24"/>
                <w:szCs w:val="24"/>
                <w:lang w:eastAsia="zh-TW"/>
              </w:rPr>
              <w:t>次</w:t>
            </w:r>
          </w:p>
        </w:tc>
        <w:tc>
          <w:tcPr>
            <w:tcW w:w="3402" w:type="dxa"/>
            <w:gridSpan w:val="2"/>
            <w:vAlign w:val="center"/>
          </w:tcPr>
          <w:p w14:paraId="3B610343" w14:textId="77777777" w:rsidR="000C788C" w:rsidRPr="00000B6F" w:rsidRDefault="000C788C" w:rsidP="001730F8">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2</w:t>
            </w:r>
            <w:r w:rsidRPr="00000B6F">
              <w:rPr>
                <w:rFonts w:ascii="Times New Roman" w:eastAsia="標楷體" w:hAnsi="Times New Roman" w:cs="Times New Roman"/>
                <w:sz w:val="24"/>
                <w:szCs w:val="24"/>
              </w:rPr>
              <w:t>分</w:t>
            </w:r>
          </w:p>
        </w:tc>
        <w:tc>
          <w:tcPr>
            <w:tcW w:w="6520" w:type="dxa"/>
            <w:vMerge/>
            <w:vAlign w:val="center"/>
          </w:tcPr>
          <w:p w14:paraId="13C6F530" w14:textId="77777777" w:rsidR="000C788C" w:rsidRPr="00000B6F" w:rsidRDefault="000C788C" w:rsidP="001730F8">
            <w:pPr>
              <w:pStyle w:val="TableParagraph"/>
              <w:spacing w:line="360" w:lineRule="exact"/>
              <w:ind w:rightChars="20" w:right="48"/>
              <w:jc w:val="both"/>
              <w:rPr>
                <w:rFonts w:ascii="Times New Roman" w:eastAsia="標楷體" w:hAnsi="Times New Roman" w:cs="Times New Roman"/>
                <w:sz w:val="24"/>
                <w:szCs w:val="24"/>
                <w:lang w:eastAsia="zh-TW"/>
              </w:rPr>
            </w:pPr>
          </w:p>
        </w:tc>
      </w:tr>
      <w:tr w:rsidR="000C788C" w:rsidRPr="00000B6F" w14:paraId="0B5C1B0E" w14:textId="77777777" w:rsidTr="009B11F1">
        <w:trPr>
          <w:trHeight w:val="2044"/>
        </w:trPr>
        <w:tc>
          <w:tcPr>
            <w:tcW w:w="1011" w:type="dxa"/>
            <w:vMerge/>
            <w:vAlign w:val="center"/>
          </w:tcPr>
          <w:p w14:paraId="27729A0D" w14:textId="77777777" w:rsidR="000C788C" w:rsidRPr="00000B6F" w:rsidRDefault="000C788C" w:rsidP="001730F8">
            <w:pPr>
              <w:jc w:val="center"/>
              <w:rPr>
                <w:rFonts w:eastAsia="標楷體"/>
              </w:rPr>
            </w:pPr>
          </w:p>
        </w:tc>
        <w:tc>
          <w:tcPr>
            <w:tcW w:w="1011" w:type="dxa"/>
            <w:vAlign w:val="center"/>
          </w:tcPr>
          <w:p w14:paraId="74FD45C3" w14:textId="77777777" w:rsidR="000C788C" w:rsidRPr="00000B6F" w:rsidRDefault="000C788C" w:rsidP="00F7029D">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重大</w:t>
            </w:r>
          </w:p>
          <w:p w14:paraId="728CB7D1" w14:textId="336A48B2" w:rsidR="000C788C" w:rsidRPr="00000B6F" w:rsidRDefault="000C788C" w:rsidP="00F7029D">
            <w:pPr>
              <w:pStyle w:val="TableParagraph"/>
              <w:jc w:val="center"/>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rPr>
              <w:t>殊榮</w:t>
            </w:r>
          </w:p>
        </w:tc>
        <w:tc>
          <w:tcPr>
            <w:tcW w:w="3402" w:type="dxa"/>
            <w:vAlign w:val="center"/>
          </w:tcPr>
          <w:p w14:paraId="1B74B7A0" w14:textId="29FAC93D" w:rsidR="000C788C" w:rsidRPr="00000B6F" w:rsidRDefault="000C788C" w:rsidP="00996862">
            <w:pPr>
              <w:pStyle w:val="TableParagraph"/>
              <w:spacing w:line="320" w:lineRule="exact"/>
              <w:ind w:leftChars="20" w:left="48" w:rightChars="20" w:right="48"/>
              <w:jc w:val="both"/>
              <w:rPr>
                <w:rFonts w:ascii="Times New Roman" w:eastAsia="標楷體" w:hAnsi="Times New Roman" w:cs="Times New Roman"/>
                <w:sz w:val="24"/>
                <w:szCs w:val="24"/>
                <w:lang w:eastAsia="zh-TW"/>
              </w:rPr>
            </w:pPr>
            <w:r w:rsidRPr="00F7029D">
              <w:rPr>
                <w:rFonts w:ascii="Times New Roman" w:eastAsia="標楷體" w:hAnsi="Times New Roman" w:cs="Times New Roman" w:hint="eastAsia"/>
                <w:sz w:val="24"/>
                <w:szCs w:val="24"/>
                <w:lang w:eastAsia="zh-TW"/>
              </w:rPr>
              <w:t>專案考績一次記二大功、功績獎章、楷模獎章、專業獎章（不含依服務年資頒給者）、勳章、公務人員傑出貢獻獎個人獎、模範公務人員或依其他法律規定具有得優先陞任之重大殊榮</w:t>
            </w:r>
          </w:p>
        </w:tc>
        <w:tc>
          <w:tcPr>
            <w:tcW w:w="3402" w:type="dxa"/>
            <w:gridSpan w:val="2"/>
            <w:vAlign w:val="center"/>
          </w:tcPr>
          <w:p w14:paraId="67B541C6" w14:textId="318721C0" w:rsidR="000C788C" w:rsidRPr="00000B6F" w:rsidRDefault="000C788C" w:rsidP="001730F8">
            <w:pPr>
              <w:pStyle w:val="TableParagraph"/>
              <w:jc w:val="center"/>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rPr>
              <w:t>5</w:t>
            </w:r>
            <w:r w:rsidRPr="00000B6F">
              <w:rPr>
                <w:rFonts w:ascii="Times New Roman" w:eastAsia="標楷體" w:hAnsi="Times New Roman" w:cs="Times New Roman"/>
                <w:sz w:val="24"/>
                <w:szCs w:val="24"/>
              </w:rPr>
              <w:t>分</w:t>
            </w:r>
          </w:p>
        </w:tc>
        <w:tc>
          <w:tcPr>
            <w:tcW w:w="6520" w:type="dxa"/>
            <w:vAlign w:val="center"/>
          </w:tcPr>
          <w:p w14:paraId="2FA9422A" w14:textId="61259A64" w:rsidR="000C788C" w:rsidRPr="00000B6F" w:rsidRDefault="000C788C" w:rsidP="00F7029D">
            <w:pPr>
              <w:pStyle w:val="TableParagraph"/>
              <w:spacing w:line="320" w:lineRule="exact"/>
              <w:ind w:leftChars="50" w:left="120" w:rightChars="50" w:right="120"/>
              <w:jc w:val="both"/>
              <w:rPr>
                <w:rFonts w:ascii="Times New Roman" w:eastAsia="標楷體" w:hAnsi="Times New Roman" w:cs="Times New Roman"/>
                <w:sz w:val="24"/>
                <w:szCs w:val="24"/>
                <w:lang w:eastAsia="zh-TW"/>
              </w:rPr>
            </w:pPr>
            <w:r w:rsidRPr="00F7029D">
              <w:rPr>
                <w:rFonts w:ascii="Times New Roman" w:eastAsia="標楷體" w:hAnsi="Times New Roman" w:cs="Times New Roman" w:hint="eastAsia"/>
                <w:sz w:val="24"/>
                <w:szCs w:val="24"/>
                <w:lang w:eastAsia="zh-TW"/>
              </w:rPr>
              <w:t>以最近五年內（自辦理陞任甄審當月上溯計算）現職、同職務列等或同一陞遷序列職務期間已核頒（定）者為限，且不分次數均核予</w:t>
            </w:r>
            <w:r w:rsidRPr="00F7029D">
              <w:rPr>
                <w:rFonts w:ascii="Times New Roman" w:eastAsia="標楷體" w:hAnsi="Times New Roman" w:cs="Times New Roman" w:hint="eastAsia"/>
                <w:sz w:val="24"/>
                <w:szCs w:val="24"/>
                <w:lang w:eastAsia="zh-TW"/>
              </w:rPr>
              <w:t>5</w:t>
            </w:r>
            <w:r w:rsidRPr="00F7029D">
              <w:rPr>
                <w:rFonts w:ascii="Times New Roman" w:eastAsia="標楷體" w:hAnsi="Times New Roman" w:cs="Times New Roman" w:hint="eastAsia"/>
                <w:sz w:val="24"/>
                <w:szCs w:val="24"/>
                <w:lang w:eastAsia="zh-TW"/>
              </w:rPr>
              <w:t>分。</w:t>
            </w:r>
          </w:p>
        </w:tc>
      </w:tr>
      <w:tr w:rsidR="00356BD3" w:rsidRPr="00000B6F" w14:paraId="7AD5E662" w14:textId="77777777" w:rsidTr="00062930">
        <w:trPr>
          <w:trHeight w:val="2880"/>
        </w:trPr>
        <w:tc>
          <w:tcPr>
            <w:tcW w:w="1011" w:type="dxa"/>
            <w:vMerge/>
            <w:vAlign w:val="center"/>
          </w:tcPr>
          <w:p w14:paraId="4865AF27" w14:textId="77777777" w:rsidR="00356BD3" w:rsidRPr="00000B6F" w:rsidRDefault="00356BD3" w:rsidP="001730F8">
            <w:pPr>
              <w:jc w:val="center"/>
              <w:rPr>
                <w:rFonts w:eastAsia="標楷體"/>
                <w:lang w:eastAsia="zh-TW"/>
              </w:rPr>
            </w:pPr>
          </w:p>
        </w:tc>
        <w:tc>
          <w:tcPr>
            <w:tcW w:w="1011" w:type="dxa"/>
            <w:vAlign w:val="center"/>
          </w:tcPr>
          <w:p w14:paraId="4FE4EB5F" w14:textId="77777777" w:rsidR="00356BD3" w:rsidRPr="00A66E7C" w:rsidRDefault="00356BD3" w:rsidP="004A314D">
            <w:pPr>
              <w:pStyle w:val="TableParagraph"/>
              <w:jc w:val="center"/>
              <w:rPr>
                <w:rFonts w:ascii="Times New Roman" w:eastAsia="標楷體" w:hAnsi="Times New Roman" w:cs="Times New Roman"/>
                <w:sz w:val="24"/>
                <w:szCs w:val="24"/>
              </w:rPr>
            </w:pPr>
            <w:r w:rsidRPr="00A66E7C">
              <w:rPr>
                <w:rFonts w:ascii="Times New Roman" w:eastAsia="標楷體" w:hAnsi="Times New Roman" w:cs="Times New Roman"/>
                <w:sz w:val="24"/>
                <w:szCs w:val="24"/>
              </w:rPr>
              <w:t>工作</w:t>
            </w:r>
          </w:p>
          <w:p w14:paraId="7FFD544A" w14:textId="1C2687B6" w:rsidR="00356BD3" w:rsidRPr="00000B6F" w:rsidRDefault="00356BD3" w:rsidP="004A314D">
            <w:pPr>
              <w:pStyle w:val="TableParagraph"/>
              <w:jc w:val="center"/>
              <w:rPr>
                <w:rFonts w:ascii="Times New Roman" w:eastAsia="標楷體" w:hAnsi="Times New Roman" w:cs="Times New Roman"/>
                <w:sz w:val="24"/>
                <w:szCs w:val="24"/>
              </w:rPr>
            </w:pPr>
            <w:r w:rsidRPr="00A66E7C">
              <w:rPr>
                <w:rFonts w:ascii="Times New Roman" w:eastAsia="標楷體" w:hAnsi="Times New Roman" w:cs="Times New Roman"/>
                <w:sz w:val="24"/>
                <w:szCs w:val="24"/>
              </w:rPr>
              <w:t>表現</w:t>
            </w:r>
          </w:p>
        </w:tc>
        <w:tc>
          <w:tcPr>
            <w:tcW w:w="3402" w:type="dxa"/>
            <w:vAlign w:val="center"/>
          </w:tcPr>
          <w:p w14:paraId="34979504" w14:textId="011F4599" w:rsidR="00356BD3" w:rsidRPr="00F7029D" w:rsidRDefault="00356BD3" w:rsidP="00996862">
            <w:pPr>
              <w:pStyle w:val="TableParagraph"/>
              <w:spacing w:line="320" w:lineRule="exact"/>
              <w:ind w:leftChars="20" w:left="48" w:rightChars="20" w:right="48"/>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由各單位主管評分</w:t>
            </w:r>
          </w:p>
        </w:tc>
        <w:tc>
          <w:tcPr>
            <w:tcW w:w="1701" w:type="dxa"/>
            <w:vAlign w:val="center"/>
          </w:tcPr>
          <w:p w14:paraId="2F5583C5" w14:textId="54A1CAC5" w:rsidR="00356BD3" w:rsidRPr="00000B6F" w:rsidRDefault="00356BD3" w:rsidP="001730F8">
            <w:pPr>
              <w:pStyle w:val="TableParagraph"/>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15</w:t>
            </w:r>
            <w:r>
              <w:rPr>
                <w:rFonts w:ascii="Times New Roman" w:eastAsia="標楷體" w:hAnsi="Times New Roman" w:cs="Times New Roman" w:hint="eastAsia"/>
                <w:sz w:val="24"/>
                <w:szCs w:val="24"/>
                <w:lang w:eastAsia="zh-TW"/>
              </w:rPr>
              <w:t>分</w:t>
            </w:r>
          </w:p>
        </w:tc>
        <w:tc>
          <w:tcPr>
            <w:tcW w:w="1701" w:type="dxa"/>
            <w:vAlign w:val="center"/>
          </w:tcPr>
          <w:p w14:paraId="363C974A" w14:textId="11CC3CC9" w:rsidR="00356BD3" w:rsidRPr="00000B6F" w:rsidRDefault="00356BD3" w:rsidP="001730F8">
            <w:pPr>
              <w:pStyle w:val="TableParagraph"/>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8</w:t>
            </w:r>
            <w:r>
              <w:rPr>
                <w:rFonts w:ascii="Times New Roman" w:eastAsia="標楷體" w:hAnsi="Times New Roman" w:cs="Times New Roman" w:hint="eastAsia"/>
                <w:sz w:val="24"/>
                <w:szCs w:val="24"/>
                <w:lang w:eastAsia="zh-TW"/>
              </w:rPr>
              <w:t>分</w:t>
            </w:r>
          </w:p>
        </w:tc>
        <w:tc>
          <w:tcPr>
            <w:tcW w:w="6520" w:type="dxa"/>
            <w:vAlign w:val="center"/>
          </w:tcPr>
          <w:p w14:paraId="56A80B85" w14:textId="77777777" w:rsidR="00356BD3" w:rsidRDefault="00356BD3" w:rsidP="00E40A4C">
            <w:pPr>
              <w:pStyle w:val="TableParagraph"/>
              <w:numPr>
                <w:ilvl w:val="0"/>
                <w:numId w:val="6"/>
              </w:numPr>
              <w:spacing w:line="360" w:lineRule="exact"/>
              <w:ind w:rightChars="50" w:right="120"/>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以最</w:t>
            </w:r>
            <w:r w:rsidRPr="006452A4">
              <w:rPr>
                <w:rFonts w:ascii="Times New Roman" w:eastAsia="標楷體" w:hAnsi="Times New Roman" w:cs="Times New Roman"/>
                <w:sz w:val="24"/>
                <w:szCs w:val="24"/>
                <w:lang w:eastAsia="zh-TW"/>
              </w:rPr>
              <w:t>近五年內（自辦理陞任甄審當月上溯計算）現職、同職務列等或同一陞遷序列職務期間之工作表現為限。</w:t>
            </w:r>
          </w:p>
          <w:p w14:paraId="4D84CDBF" w14:textId="6BA2EF75" w:rsidR="00356BD3" w:rsidRPr="00356BD3" w:rsidRDefault="00356BD3" w:rsidP="00356BD3">
            <w:pPr>
              <w:pStyle w:val="TableParagraph"/>
              <w:numPr>
                <w:ilvl w:val="0"/>
                <w:numId w:val="6"/>
              </w:numPr>
              <w:spacing w:line="360" w:lineRule="exact"/>
              <w:ind w:rightChars="50" w:right="120"/>
              <w:jc w:val="both"/>
              <w:rPr>
                <w:rFonts w:ascii="Times New Roman" w:eastAsia="標楷體" w:hAnsi="Times New Roman" w:cs="Times New Roman"/>
                <w:sz w:val="24"/>
                <w:szCs w:val="24"/>
                <w:lang w:eastAsia="zh-TW"/>
              </w:rPr>
            </w:pPr>
            <w:r w:rsidRPr="00E40A4C">
              <w:rPr>
                <w:rFonts w:ascii="Times New Roman" w:eastAsia="標楷體" w:hAnsi="Times New Roman" w:cs="Times New Roman" w:hint="eastAsia"/>
                <w:sz w:val="24"/>
                <w:szCs w:val="24"/>
                <w:lang w:eastAsia="zh-TW"/>
              </w:rPr>
              <w:t>本項由</w:t>
            </w:r>
            <w:r>
              <w:rPr>
                <w:rFonts w:ascii="Times New Roman" w:eastAsia="標楷體" w:hAnsi="Times New Roman" w:cs="Times New Roman" w:hint="eastAsia"/>
                <w:sz w:val="24"/>
                <w:szCs w:val="24"/>
                <w:lang w:eastAsia="zh-TW"/>
              </w:rPr>
              <w:t>現職</w:t>
            </w:r>
            <w:r w:rsidRPr="00E40A4C">
              <w:rPr>
                <w:rFonts w:ascii="Times New Roman" w:eastAsia="標楷體" w:hAnsi="Times New Roman" w:cs="Times New Roman" w:hint="eastAsia"/>
                <w:sz w:val="24"/>
                <w:szCs w:val="24"/>
                <w:lang w:eastAsia="zh-TW"/>
              </w:rPr>
              <w:t>單位主管</w:t>
            </w:r>
            <w:r>
              <w:rPr>
                <w:rFonts w:ascii="Times New Roman" w:eastAsia="標楷體" w:hAnsi="Times New Roman" w:cs="Times New Roman" w:hint="eastAsia"/>
                <w:sz w:val="24"/>
                <w:szCs w:val="24"/>
                <w:lang w:eastAsia="zh-TW"/>
              </w:rPr>
              <w:t>受考人平時工作知能及公文績效、創新研究及簡化流程、服務態度、年度工作計畫、文書撰寫能力及數位資訊、電腦操作知能等具體表現考量評分</w:t>
            </w:r>
            <w:r w:rsidRPr="00C011E4">
              <w:rPr>
                <w:rFonts w:ascii="Times New Roman" w:eastAsia="標楷體" w:hAnsi="Times New Roman" w:cs="Times New Roman" w:hint="eastAsia"/>
                <w:sz w:val="24"/>
                <w:szCs w:val="24"/>
                <w:lang w:eastAsia="zh-TW"/>
              </w:rPr>
              <w:t>，經甄審委員會審議。</w:t>
            </w:r>
          </w:p>
        </w:tc>
      </w:tr>
    </w:tbl>
    <w:p w14:paraId="6DF3C4B3" w14:textId="288D1FAE" w:rsidR="00C011E4" w:rsidRDefault="00C011E4" w:rsidP="00396235"/>
    <w:p w14:paraId="694E9BBC" w14:textId="77777777" w:rsidR="00C011E4" w:rsidRPr="00F7029D" w:rsidRDefault="00C011E4" w:rsidP="00396235"/>
    <w:tbl>
      <w:tblPr>
        <w:tblStyle w:val="TableNormal"/>
        <w:tblW w:w="153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012"/>
        <w:gridCol w:w="708"/>
        <w:gridCol w:w="426"/>
        <w:gridCol w:w="2268"/>
        <w:gridCol w:w="1701"/>
        <w:gridCol w:w="1701"/>
        <w:gridCol w:w="6519"/>
      </w:tblGrid>
      <w:tr w:rsidR="000C2FDF" w:rsidRPr="00000B6F" w14:paraId="2CCE5A73" w14:textId="77777777" w:rsidTr="00356BD3">
        <w:trPr>
          <w:trHeight w:val="388"/>
        </w:trPr>
        <w:tc>
          <w:tcPr>
            <w:tcW w:w="1011" w:type="dxa"/>
            <w:vMerge w:val="restart"/>
            <w:vAlign w:val="center"/>
          </w:tcPr>
          <w:p w14:paraId="197AFF40" w14:textId="77777777" w:rsidR="004001A8" w:rsidRPr="00000B6F" w:rsidRDefault="004001A8" w:rsidP="001730F8">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lastRenderedPageBreak/>
              <w:t>評比類別</w:t>
            </w:r>
          </w:p>
        </w:tc>
        <w:tc>
          <w:tcPr>
            <w:tcW w:w="1012" w:type="dxa"/>
            <w:vMerge w:val="restart"/>
            <w:vAlign w:val="center"/>
          </w:tcPr>
          <w:p w14:paraId="1E9EF539" w14:textId="77777777" w:rsidR="004001A8" w:rsidRPr="00000B6F" w:rsidRDefault="004001A8" w:rsidP="001730F8">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評比項目</w:t>
            </w:r>
          </w:p>
        </w:tc>
        <w:tc>
          <w:tcPr>
            <w:tcW w:w="3402" w:type="dxa"/>
            <w:gridSpan w:val="3"/>
            <w:vMerge w:val="restart"/>
            <w:vAlign w:val="center"/>
          </w:tcPr>
          <w:p w14:paraId="53323D4F" w14:textId="77777777" w:rsidR="004001A8" w:rsidRPr="00000B6F" w:rsidRDefault="004001A8" w:rsidP="001730F8">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評分標準</w:t>
            </w:r>
          </w:p>
        </w:tc>
        <w:tc>
          <w:tcPr>
            <w:tcW w:w="3402" w:type="dxa"/>
            <w:gridSpan w:val="2"/>
            <w:vAlign w:val="center"/>
          </w:tcPr>
          <w:p w14:paraId="4966E2FB" w14:textId="6CBAD5FA" w:rsidR="004001A8" w:rsidRPr="00000B6F" w:rsidRDefault="004001A8" w:rsidP="00356BD3">
            <w:pPr>
              <w:pStyle w:val="TableParagraph"/>
              <w:spacing w:before="28"/>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配分</w:t>
            </w:r>
          </w:p>
        </w:tc>
        <w:tc>
          <w:tcPr>
            <w:tcW w:w="6519" w:type="dxa"/>
            <w:vMerge w:val="restart"/>
            <w:vAlign w:val="center"/>
          </w:tcPr>
          <w:p w14:paraId="0B1E8483" w14:textId="77777777" w:rsidR="004001A8" w:rsidRPr="00000B6F" w:rsidRDefault="004001A8" w:rsidP="001730F8">
            <w:pPr>
              <w:pStyle w:val="TableParagraph"/>
              <w:ind w:right="5"/>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說明</w:t>
            </w:r>
          </w:p>
        </w:tc>
      </w:tr>
      <w:tr w:rsidR="000C2FDF" w:rsidRPr="00000B6F" w14:paraId="7722E0C6" w14:textId="77777777" w:rsidTr="004A32C2">
        <w:trPr>
          <w:trHeight w:val="388"/>
        </w:trPr>
        <w:tc>
          <w:tcPr>
            <w:tcW w:w="1011" w:type="dxa"/>
            <w:vMerge/>
          </w:tcPr>
          <w:p w14:paraId="0370C4D9" w14:textId="77777777" w:rsidR="004001A8" w:rsidRPr="00000B6F" w:rsidRDefault="004001A8" w:rsidP="001730F8">
            <w:pPr>
              <w:rPr>
                <w:sz w:val="24"/>
              </w:rPr>
            </w:pPr>
          </w:p>
        </w:tc>
        <w:tc>
          <w:tcPr>
            <w:tcW w:w="1012" w:type="dxa"/>
            <w:vMerge/>
          </w:tcPr>
          <w:p w14:paraId="183C6EDC" w14:textId="77777777" w:rsidR="004001A8" w:rsidRPr="00000B6F" w:rsidRDefault="004001A8" w:rsidP="001730F8">
            <w:pPr>
              <w:rPr>
                <w:sz w:val="24"/>
              </w:rPr>
            </w:pPr>
          </w:p>
        </w:tc>
        <w:tc>
          <w:tcPr>
            <w:tcW w:w="3402" w:type="dxa"/>
            <w:gridSpan w:val="3"/>
            <w:vMerge/>
          </w:tcPr>
          <w:p w14:paraId="61759FF9" w14:textId="77777777" w:rsidR="004001A8" w:rsidRPr="00000B6F" w:rsidRDefault="004001A8" w:rsidP="001730F8">
            <w:pPr>
              <w:rPr>
                <w:sz w:val="24"/>
              </w:rPr>
            </w:pPr>
          </w:p>
        </w:tc>
        <w:tc>
          <w:tcPr>
            <w:tcW w:w="1701" w:type="dxa"/>
            <w:vAlign w:val="center"/>
          </w:tcPr>
          <w:p w14:paraId="7886FA2E" w14:textId="77777777" w:rsidR="004001A8" w:rsidRPr="00356BD3" w:rsidRDefault="004001A8" w:rsidP="001730F8">
            <w:pPr>
              <w:pStyle w:val="TableParagraph"/>
              <w:spacing w:before="28"/>
              <w:jc w:val="center"/>
              <w:rPr>
                <w:rFonts w:ascii="Times New Roman" w:eastAsia="標楷體" w:hAnsi="Times New Roman" w:cs="Times New Roman"/>
                <w:spacing w:val="-4"/>
                <w:sz w:val="24"/>
                <w:szCs w:val="24"/>
              </w:rPr>
            </w:pPr>
            <w:r w:rsidRPr="00356BD3">
              <w:rPr>
                <w:rFonts w:ascii="Times New Roman" w:eastAsia="標楷體" w:hAnsi="Times New Roman" w:cs="Times New Roman"/>
                <w:spacing w:val="-4"/>
                <w:sz w:val="24"/>
                <w:szCs w:val="24"/>
              </w:rPr>
              <w:t>擬任非主管職務</w:t>
            </w:r>
          </w:p>
        </w:tc>
        <w:tc>
          <w:tcPr>
            <w:tcW w:w="1701" w:type="dxa"/>
            <w:vAlign w:val="center"/>
          </w:tcPr>
          <w:p w14:paraId="6D38B809" w14:textId="77777777" w:rsidR="004001A8" w:rsidRPr="00356BD3" w:rsidRDefault="004001A8" w:rsidP="001730F8">
            <w:pPr>
              <w:pStyle w:val="TableParagraph"/>
              <w:spacing w:before="28"/>
              <w:jc w:val="center"/>
              <w:rPr>
                <w:rFonts w:ascii="Times New Roman" w:eastAsia="標楷體" w:hAnsi="Times New Roman" w:cs="Times New Roman"/>
                <w:sz w:val="24"/>
                <w:szCs w:val="24"/>
              </w:rPr>
            </w:pPr>
            <w:r w:rsidRPr="00356BD3">
              <w:rPr>
                <w:rFonts w:ascii="Times New Roman" w:eastAsia="標楷體" w:hAnsi="Times New Roman" w:cs="Times New Roman"/>
                <w:sz w:val="24"/>
                <w:szCs w:val="24"/>
              </w:rPr>
              <w:t>擬任主管職務</w:t>
            </w:r>
          </w:p>
        </w:tc>
        <w:tc>
          <w:tcPr>
            <w:tcW w:w="6519" w:type="dxa"/>
            <w:vMerge/>
          </w:tcPr>
          <w:p w14:paraId="33F91EE4" w14:textId="77777777" w:rsidR="004001A8" w:rsidRPr="00000B6F" w:rsidRDefault="004001A8" w:rsidP="001730F8">
            <w:pPr>
              <w:rPr>
                <w:sz w:val="24"/>
              </w:rPr>
            </w:pPr>
          </w:p>
        </w:tc>
      </w:tr>
      <w:tr w:rsidR="0015520D" w:rsidRPr="00000B6F" w14:paraId="286D566C" w14:textId="77777777" w:rsidTr="00C73134">
        <w:trPr>
          <w:trHeight w:val="964"/>
        </w:trPr>
        <w:tc>
          <w:tcPr>
            <w:tcW w:w="1011" w:type="dxa"/>
            <w:vMerge w:val="restart"/>
            <w:vAlign w:val="center"/>
          </w:tcPr>
          <w:p w14:paraId="0CA44FD4" w14:textId="77777777" w:rsidR="0015520D" w:rsidRPr="00D43097" w:rsidRDefault="0015520D" w:rsidP="00000B6F">
            <w:pPr>
              <w:jc w:val="center"/>
              <w:rPr>
                <w:rFonts w:eastAsia="標楷體"/>
                <w:sz w:val="24"/>
                <w:szCs w:val="28"/>
                <w:lang w:eastAsia="zh-TW"/>
              </w:rPr>
            </w:pPr>
            <w:r w:rsidRPr="00D43097">
              <w:rPr>
                <w:rFonts w:eastAsia="標楷體" w:hint="eastAsia"/>
                <w:sz w:val="24"/>
                <w:szCs w:val="28"/>
                <w:lang w:eastAsia="zh-TW"/>
              </w:rPr>
              <w:t>職務</w:t>
            </w:r>
          </w:p>
          <w:p w14:paraId="0E560F5B" w14:textId="02E4552D" w:rsidR="0015520D" w:rsidRPr="00000B6F" w:rsidRDefault="0015520D" w:rsidP="00000B6F">
            <w:pPr>
              <w:jc w:val="center"/>
              <w:rPr>
                <w:rFonts w:eastAsia="標楷體"/>
                <w:lang w:eastAsia="zh-TW"/>
              </w:rPr>
            </w:pPr>
            <w:r w:rsidRPr="00D43097">
              <w:rPr>
                <w:rFonts w:eastAsia="標楷體" w:hint="eastAsia"/>
                <w:sz w:val="24"/>
                <w:szCs w:val="28"/>
                <w:lang w:eastAsia="zh-TW"/>
              </w:rPr>
              <w:t>適任性</w:t>
            </w:r>
          </w:p>
        </w:tc>
        <w:tc>
          <w:tcPr>
            <w:tcW w:w="1012" w:type="dxa"/>
            <w:vMerge w:val="restart"/>
            <w:shd w:val="clear" w:color="auto" w:fill="auto"/>
            <w:vAlign w:val="center"/>
          </w:tcPr>
          <w:p w14:paraId="562FD336" w14:textId="77777777" w:rsidR="0015520D" w:rsidRPr="00A66E7C" w:rsidRDefault="0015520D" w:rsidP="00000B6F">
            <w:pPr>
              <w:pStyle w:val="TableParagraph"/>
              <w:jc w:val="center"/>
              <w:rPr>
                <w:rFonts w:ascii="Times New Roman" w:eastAsia="標楷體" w:hAnsi="Times New Roman" w:cs="Times New Roman"/>
                <w:spacing w:val="-4"/>
                <w:sz w:val="24"/>
                <w:szCs w:val="24"/>
              </w:rPr>
            </w:pPr>
            <w:r w:rsidRPr="00A66E7C">
              <w:rPr>
                <w:rFonts w:ascii="Times New Roman" w:eastAsia="標楷體" w:hAnsi="Times New Roman" w:cs="Times New Roman"/>
                <w:spacing w:val="-4"/>
                <w:sz w:val="24"/>
                <w:szCs w:val="24"/>
              </w:rPr>
              <w:t>專業或</w:t>
            </w:r>
          </w:p>
          <w:p w14:paraId="1697C5DE" w14:textId="31F9C60E" w:rsidR="0015520D" w:rsidRPr="00A66E7C" w:rsidRDefault="0015520D" w:rsidP="00000B6F">
            <w:pPr>
              <w:pStyle w:val="TableParagraph"/>
              <w:jc w:val="center"/>
              <w:rPr>
                <w:rFonts w:ascii="Times New Roman" w:eastAsia="標楷體" w:hAnsi="Times New Roman" w:cs="Times New Roman"/>
                <w:sz w:val="24"/>
                <w:szCs w:val="24"/>
              </w:rPr>
            </w:pPr>
            <w:r w:rsidRPr="00A66E7C">
              <w:rPr>
                <w:rFonts w:ascii="Times New Roman" w:eastAsia="標楷體" w:hAnsi="Times New Roman" w:cs="Times New Roman"/>
                <w:spacing w:val="-4"/>
                <w:sz w:val="24"/>
                <w:szCs w:val="24"/>
              </w:rPr>
              <w:t>技術能力</w:t>
            </w:r>
          </w:p>
        </w:tc>
        <w:tc>
          <w:tcPr>
            <w:tcW w:w="708" w:type="dxa"/>
            <w:vMerge w:val="restart"/>
            <w:shd w:val="clear" w:color="auto" w:fill="auto"/>
            <w:vAlign w:val="center"/>
          </w:tcPr>
          <w:p w14:paraId="49D3D0A4" w14:textId="49B6D504" w:rsidR="0015520D" w:rsidRPr="00A66E7C" w:rsidRDefault="0015520D" w:rsidP="00000B6F">
            <w:pPr>
              <w:pStyle w:val="TableParagraph"/>
              <w:jc w:val="center"/>
              <w:rPr>
                <w:rFonts w:ascii="Times New Roman" w:eastAsia="標楷體" w:hAnsi="Times New Roman" w:cs="Times New Roman"/>
                <w:sz w:val="24"/>
                <w:szCs w:val="24"/>
              </w:rPr>
            </w:pPr>
            <w:r w:rsidRPr="00A66E7C">
              <w:rPr>
                <w:rFonts w:ascii="Times New Roman" w:eastAsia="標楷體" w:hAnsi="Times New Roman" w:cs="Times New Roman"/>
                <w:sz w:val="24"/>
                <w:szCs w:val="24"/>
                <w:lang w:eastAsia="zh-TW"/>
              </w:rPr>
              <w:t>語言能力</w:t>
            </w:r>
          </w:p>
        </w:tc>
        <w:tc>
          <w:tcPr>
            <w:tcW w:w="426" w:type="dxa"/>
            <w:vMerge w:val="restart"/>
            <w:shd w:val="clear" w:color="auto" w:fill="auto"/>
            <w:vAlign w:val="center"/>
          </w:tcPr>
          <w:p w14:paraId="538C6D80" w14:textId="37C960B8" w:rsidR="0015520D" w:rsidRPr="00A66E7C" w:rsidRDefault="0015520D" w:rsidP="00000B6F">
            <w:pPr>
              <w:pStyle w:val="TableParagraph"/>
              <w:jc w:val="center"/>
              <w:rPr>
                <w:rFonts w:ascii="Times New Roman" w:eastAsia="標楷體" w:hAnsi="Times New Roman" w:cs="Times New Roman"/>
                <w:sz w:val="24"/>
                <w:szCs w:val="24"/>
              </w:rPr>
            </w:pPr>
            <w:r w:rsidRPr="00A66E7C">
              <w:rPr>
                <w:rFonts w:ascii="Times New Roman" w:eastAsia="標楷體" w:hAnsi="Times New Roman" w:cs="Times New Roman"/>
                <w:sz w:val="24"/>
                <w:szCs w:val="24"/>
                <w:lang w:eastAsia="zh-TW"/>
              </w:rPr>
              <w:t>外語</w:t>
            </w:r>
          </w:p>
        </w:tc>
        <w:tc>
          <w:tcPr>
            <w:tcW w:w="2268" w:type="dxa"/>
            <w:shd w:val="clear" w:color="auto" w:fill="auto"/>
            <w:vAlign w:val="center"/>
          </w:tcPr>
          <w:p w14:paraId="578E84C7" w14:textId="1FC75070" w:rsidR="0015520D" w:rsidRPr="00A66E7C" w:rsidRDefault="0015520D" w:rsidP="00094532">
            <w:pPr>
              <w:pStyle w:val="TableParagraph"/>
              <w:spacing w:line="300" w:lineRule="exact"/>
              <w:ind w:leftChars="20" w:left="48" w:rightChars="20" w:right="48"/>
              <w:rPr>
                <w:rFonts w:ascii="Times New Roman" w:eastAsia="標楷體" w:hAnsi="Times New Roman" w:cs="Times New Roman"/>
                <w:sz w:val="24"/>
                <w:szCs w:val="24"/>
                <w:lang w:eastAsia="zh-TW"/>
              </w:rPr>
            </w:pPr>
            <w:r w:rsidRPr="00A66E7C">
              <w:rPr>
                <w:rFonts w:ascii="Times New Roman" w:eastAsia="標楷體" w:hAnsi="Times New Roman" w:cs="Times New Roman"/>
                <w:sz w:val="24"/>
                <w:szCs w:val="24"/>
                <w:lang w:eastAsia="zh-TW"/>
              </w:rPr>
              <w:t>通過初級</w:t>
            </w:r>
            <w:r>
              <w:rPr>
                <w:rFonts w:ascii="Times New Roman" w:eastAsia="標楷體" w:hAnsi="Times New Roman" w:cs="Times New Roman" w:hint="eastAsia"/>
                <w:sz w:val="24"/>
                <w:szCs w:val="24"/>
                <w:lang w:eastAsia="zh-TW"/>
              </w:rPr>
              <w:t>、中級</w:t>
            </w:r>
            <w:r w:rsidRPr="00A66E7C">
              <w:rPr>
                <w:rFonts w:ascii="Times New Roman" w:eastAsia="標楷體" w:hAnsi="Times New Roman" w:cs="Times New Roman"/>
                <w:sz w:val="24"/>
                <w:szCs w:val="24"/>
                <w:lang w:eastAsia="zh-TW"/>
              </w:rPr>
              <w:t>或與其相當之</w:t>
            </w:r>
            <w:r>
              <w:rPr>
                <w:rFonts w:ascii="Times New Roman" w:eastAsia="標楷體" w:hAnsi="Times New Roman" w:cs="Times New Roman" w:hint="eastAsia"/>
                <w:sz w:val="24"/>
                <w:szCs w:val="24"/>
                <w:lang w:eastAsia="zh-TW"/>
              </w:rPr>
              <w:t>語言</w:t>
            </w:r>
            <w:r w:rsidRPr="00A66E7C">
              <w:rPr>
                <w:rFonts w:ascii="Times New Roman" w:eastAsia="標楷體" w:hAnsi="Times New Roman" w:cs="Times New Roman"/>
                <w:sz w:val="24"/>
                <w:szCs w:val="24"/>
                <w:lang w:eastAsia="zh-TW"/>
              </w:rPr>
              <w:t>檢測等級者</w:t>
            </w:r>
          </w:p>
        </w:tc>
        <w:tc>
          <w:tcPr>
            <w:tcW w:w="3402" w:type="dxa"/>
            <w:gridSpan w:val="2"/>
            <w:shd w:val="clear" w:color="auto" w:fill="auto"/>
            <w:vAlign w:val="center"/>
          </w:tcPr>
          <w:p w14:paraId="42E6D957" w14:textId="35BBE2A9" w:rsidR="0015520D" w:rsidRPr="00A66E7C" w:rsidRDefault="0015520D" w:rsidP="00000B6F">
            <w:pPr>
              <w:pStyle w:val="TableParagraph"/>
              <w:spacing w:line="360" w:lineRule="exact"/>
              <w:jc w:val="center"/>
              <w:rPr>
                <w:rFonts w:ascii="Times New Roman" w:eastAsia="標楷體" w:hAnsi="Times New Roman" w:cs="Times New Roman"/>
                <w:sz w:val="24"/>
                <w:szCs w:val="24"/>
                <w:lang w:eastAsia="zh-TW"/>
              </w:rPr>
            </w:pPr>
            <w:r w:rsidRPr="00A66E7C">
              <w:rPr>
                <w:rFonts w:ascii="Times New Roman" w:eastAsia="標楷體" w:hAnsi="Times New Roman" w:cs="Times New Roman"/>
                <w:sz w:val="24"/>
                <w:szCs w:val="24"/>
              </w:rPr>
              <w:t>1</w:t>
            </w:r>
            <w:r w:rsidRPr="00A66E7C">
              <w:rPr>
                <w:rFonts w:ascii="Times New Roman" w:eastAsia="標楷體" w:hAnsi="Times New Roman" w:cs="Times New Roman"/>
                <w:sz w:val="24"/>
                <w:szCs w:val="24"/>
              </w:rPr>
              <w:t>分</w:t>
            </w:r>
          </w:p>
        </w:tc>
        <w:tc>
          <w:tcPr>
            <w:tcW w:w="6519" w:type="dxa"/>
            <w:vMerge w:val="restart"/>
            <w:shd w:val="clear" w:color="auto" w:fill="auto"/>
            <w:vAlign w:val="center"/>
          </w:tcPr>
          <w:p w14:paraId="6DEDA418" w14:textId="3CAC200F" w:rsidR="0015520D" w:rsidRDefault="0015520D" w:rsidP="00DA5BF0">
            <w:pPr>
              <w:pStyle w:val="TableParagraph"/>
              <w:numPr>
                <w:ilvl w:val="0"/>
                <w:numId w:val="7"/>
              </w:numPr>
              <w:spacing w:line="360" w:lineRule="exact"/>
              <w:ind w:rightChars="50" w:right="120"/>
              <w:jc w:val="both"/>
              <w:rPr>
                <w:rFonts w:ascii="Times New Roman" w:eastAsia="標楷體" w:hAnsi="Times New Roman" w:cs="Times New Roman"/>
                <w:sz w:val="24"/>
                <w:szCs w:val="24"/>
                <w:lang w:eastAsia="zh-TW"/>
              </w:rPr>
            </w:pPr>
            <w:r w:rsidRPr="000C75C5">
              <w:rPr>
                <w:rFonts w:ascii="Times New Roman" w:eastAsia="標楷體" w:hAnsi="Times New Roman" w:cs="Times New Roman"/>
                <w:sz w:val="24"/>
                <w:szCs w:val="24"/>
                <w:lang w:eastAsia="zh-TW"/>
              </w:rPr>
              <w:t>本項配分，最高以</w:t>
            </w:r>
            <w:r w:rsidRPr="000C75C5">
              <w:rPr>
                <w:rFonts w:ascii="Times New Roman" w:eastAsia="標楷體" w:hAnsi="Times New Roman" w:cs="Times New Roman"/>
                <w:sz w:val="24"/>
                <w:szCs w:val="24"/>
                <w:lang w:eastAsia="zh-TW"/>
              </w:rPr>
              <w:t>6</w:t>
            </w:r>
            <w:r w:rsidRPr="000C75C5">
              <w:rPr>
                <w:rFonts w:ascii="Times New Roman" w:eastAsia="標楷體" w:hAnsi="Times New Roman" w:cs="Times New Roman"/>
                <w:sz w:val="24"/>
                <w:szCs w:val="24"/>
                <w:lang w:eastAsia="zh-TW"/>
              </w:rPr>
              <w:t>分為限</w:t>
            </w:r>
            <w:r w:rsidRPr="000C75C5">
              <w:rPr>
                <w:rFonts w:ascii="Times New Roman" w:eastAsia="標楷體" w:hAnsi="Times New Roman" w:cs="Times New Roman" w:hint="eastAsia"/>
                <w:sz w:val="24"/>
                <w:szCs w:val="24"/>
                <w:lang w:eastAsia="zh-TW"/>
              </w:rPr>
              <w:t>，並</w:t>
            </w:r>
            <w:r w:rsidRPr="003004D6">
              <w:rPr>
                <w:rFonts w:ascii="Times New Roman" w:eastAsia="標楷體" w:hAnsi="Times New Roman" w:cs="Times New Roman" w:hint="eastAsia"/>
                <w:sz w:val="24"/>
                <w:szCs w:val="24"/>
                <w:lang w:eastAsia="zh-TW"/>
              </w:rPr>
              <w:t>不以同序列職務</w:t>
            </w:r>
            <w:r>
              <w:rPr>
                <w:rFonts w:ascii="Times New Roman" w:eastAsia="標楷體" w:hAnsi="Times New Roman" w:cs="Times New Roman" w:hint="eastAsia"/>
                <w:sz w:val="24"/>
                <w:szCs w:val="24"/>
                <w:lang w:eastAsia="zh-TW"/>
              </w:rPr>
              <w:t>為限，且無採計效期之限制</w:t>
            </w:r>
            <w:r w:rsidRPr="003004D6">
              <w:rPr>
                <w:rFonts w:ascii="Times New Roman" w:eastAsia="標楷體" w:hAnsi="Times New Roman" w:cs="Times New Roman" w:hint="eastAsia"/>
                <w:sz w:val="24"/>
                <w:szCs w:val="24"/>
                <w:lang w:eastAsia="zh-TW"/>
              </w:rPr>
              <w:t>。</w:t>
            </w:r>
          </w:p>
          <w:p w14:paraId="46B3EC8A" w14:textId="77777777" w:rsidR="0015520D" w:rsidRDefault="0015520D" w:rsidP="00DA5BF0">
            <w:pPr>
              <w:pStyle w:val="TableParagraph"/>
              <w:numPr>
                <w:ilvl w:val="0"/>
                <w:numId w:val="7"/>
              </w:numPr>
              <w:spacing w:line="360" w:lineRule="exact"/>
              <w:ind w:rightChars="50" w:right="12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語言</w:t>
            </w:r>
            <w:r w:rsidRPr="00DA5BF0">
              <w:rPr>
                <w:rFonts w:ascii="Times New Roman" w:eastAsia="標楷體" w:hAnsi="Times New Roman" w:cs="Times New Roman" w:hint="eastAsia"/>
                <w:sz w:val="24"/>
                <w:szCs w:val="24"/>
                <w:lang w:eastAsia="zh-TW"/>
              </w:rPr>
              <w:t>檢定合格</w:t>
            </w:r>
            <w:r>
              <w:rPr>
                <w:rFonts w:ascii="Times New Roman" w:eastAsia="標楷體" w:hAnsi="Times New Roman" w:cs="Times New Roman" w:hint="eastAsia"/>
                <w:sz w:val="24"/>
                <w:szCs w:val="24"/>
                <w:lang w:eastAsia="zh-TW"/>
              </w:rPr>
              <w:t>且取得成績證明</w:t>
            </w:r>
            <w:r w:rsidRPr="00DA5BF0">
              <w:rPr>
                <w:rFonts w:ascii="Times New Roman" w:eastAsia="標楷體" w:hAnsi="Times New Roman" w:cs="Times New Roman" w:hint="eastAsia"/>
                <w:sz w:val="24"/>
                <w:szCs w:val="24"/>
                <w:lang w:eastAsia="zh-TW"/>
              </w:rPr>
              <w:t>者，各以其通過檢測之最高級者給分；如有初、複試，通過初試，未通過複試者，按計分標準計給二分之一分數。</w:t>
            </w:r>
          </w:p>
          <w:p w14:paraId="07BD28CA" w14:textId="77777777" w:rsidR="0015520D" w:rsidRDefault="0015520D" w:rsidP="00DA5BF0">
            <w:pPr>
              <w:pStyle w:val="TableParagraph"/>
              <w:numPr>
                <w:ilvl w:val="0"/>
                <w:numId w:val="7"/>
              </w:numPr>
              <w:spacing w:line="360" w:lineRule="exact"/>
              <w:ind w:rightChars="50" w:right="12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數位資訊知能以取得資訊證照始予採計。</w:t>
            </w:r>
          </w:p>
          <w:p w14:paraId="2D2CBD77" w14:textId="6C60B6B1" w:rsidR="0015520D" w:rsidRPr="00DA5BF0" w:rsidRDefault="0015520D" w:rsidP="00DA5BF0">
            <w:pPr>
              <w:pStyle w:val="TableParagraph"/>
              <w:numPr>
                <w:ilvl w:val="0"/>
                <w:numId w:val="7"/>
              </w:numPr>
              <w:spacing w:line="360" w:lineRule="exact"/>
              <w:ind w:rightChars="50" w:right="120"/>
              <w:jc w:val="both"/>
              <w:rPr>
                <w:rFonts w:ascii="Times New Roman" w:eastAsia="標楷體" w:hAnsi="Times New Roman" w:cs="Times New Roman"/>
                <w:sz w:val="24"/>
                <w:szCs w:val="24"/>
                <w:lang w:eastAsia="zh-TW"/>
              </w:rPr>
            </w:pPr>
            <w:r w:rsidRPr="00242DFB">
              <w:rPr>
                <w:rFonts w:ascii="Times New Roman" w:eastAsia="標楷體" w:hAnsi="Times New Roman" w:cs="Times New Roman" w:hint="eastAsia"/>
                <w:sz w:val="24"/>
                <w:szCs w:val="24"/>
                <w:lang w:eastAsia="zh-TW"/>
              </w:rPr>
              <w:t>淨零學院證照課程倘授課完成後未取得證書，則列入「職務訓練及進修」項目，惟仍應符合該項目採計規定（訓練、研習時數一期每達</w:t>
            </w:r>
            <w:r w:rsidRPr="00242DFB">
              <w:rPr>
                <w:rFonts w:ascii="Times New Roman" w:eastAsia="標楷體" w:hAnsi="Times New Roman" w:cs="Times New Roman" w:hint="eastAsia"/>
                <w:sz w:val="24"/>
                <w:szCs w:val="24"/>
                <w:lang w:eastAsia="zh-TW"/>
              </w:rPr>
              <w:t>30</w:t>
            </w:r>
            <w:r w:rsidRPr="00242DFB">
              <w:rPr>
                <w:rFonts w:ascii="Times New Roman" w:eastAsia="標楷體" w:hAnsi="Times New Roman" w:cs="Times New Roman" w:hint="eastAsia"/>
                <w:sz w:val="24"/>
                <w:szCs w:val="24"/>
                <w:lang w:eastAsia="zh-TW"/>
              </w:rPr>
              <w:t>小時或一期達五日者；如一期未達</w:t>
            </w:r>
            <w:r w:rsidRPr="00242DFB">
              <w:rPr>
                <w:rFonts w:ascii="Times New Roman" w:eastAsia="標楷體" w:hAnsi="Times New Roman" w:cs="Times New Roman" w:hint="eastAsia"/>
                <w:sz w:val="24"/>
                <w:szCs w:val="24"/>
                <w:lang w:eastAsia="zh-TW"/>
              </w:rPr>
              <w:t>30</w:t>
            </w:r>
            <w:r w:rsidRPr="00242DFB">
              <w:rPr>
                <w:rFonts w:ascii="Times New Roman" w:eastAsia="標楷體" w:hAnsi="Times New Roman" w:cs="Times New Roman" w:hint="eastAsia"/>
                <w:sz w:val="24"/>
                <w:szCs w:val="24"/>
                <w:lang w:eastAsia="zh-TW"/>
              </w:rPr>
              <w:t>小時或一期未達五日者不予計分）。</w:t>
            </w:r>
          </w:p>
        </w:tc>
      </w:tr>
      <w:tr w:rsidR="0015520D" w:rsidRPr="00000B6F" w14:paraId="0EDAFF45" w14:textId="77777777" w:rsidTr="00C73134">
        <w:trPr>
          <w:trHeight w:val="964"/>
        </w:trPr>
        <w:tc>
          <w:tcPr>
            <w:tcW w:w="1011" w:type="dxa"/>
            <w:vMerge/>
            <w:vAlign w:val="center"/>
          </w:tcPr>
          <w:p w14:paraId="5EBE626B" w14:textId="77777777" w:rsidR="0015520D" w:rsidRPr="00000B6F" w:rsidRDefault="0015520D" w:rsidP="008D2C85">
            <w:pPr>
              <w:jc w:val="center"/>
              <w:rPr>
                <w:rFonts w:eastAsia="標楷體"/>
                <w:lang w:eastAsia="zh-TW"/>
              </w:rPr>
            </w:pPr>
          </w:p>
        </w:tc>
        <w:tc>
          <w:tcPr>
            <w:tcW w:w="1012" w:type="dxa"/>
            <w:vMerge/>
            <w:shd w:val="clear" w:color="auto" w:fill="auto"/>
            <w:vAlign w:val="center"/>
          </w:tcPr>
          <w:p w14:paraId="48D2942A" w14:textId="77777777" w:rsidR="0015520D" w:rsidRPr="00A66E7C" w:rsidRDefault="0015520D" w:rsidP="008D2C85">
            <w:pPr>
              <w:pStyle w:val="TableParagraph"/>
              <w:jc w:val="center"/>
              <w:rPr>
                <w:rFonts w:ascii="Times New Roman" w:eastAsia="標楷體" w:hAnsi="Times New Roman" w:cs="Times New Roman"/>
                <w:spacing w:val="-4"/>
                <w:sz w:val="24"/>
                <w:szCs w:val="24"/>
                <w:lang w:eastAsia="zh-TW"/>
              </w:rPr>
            </w:pPr>
          </w:p>
        </w:tc>
        <w:tc>
          <w:tcPr>
            <w:tcW w:w="708" w:type="dxa"/>
            <w:vMerge/>
            <w:shd w:val="clear" w:color="auto" w:fill="auto"/>
            <w:vAlign w:val="center"/>
          </w:tcPr>
          <w:p w14:paraId="518ADB4F" w14:textId="77777777" w:rsidR="0015520D" w:rsidRPr="00A66E7C" w:rsidRDefault="0015520D" w:rsidP="008D2C85">
            <w:pPr>
              <w:pStyle w:val="TableParagraph"/>
              <w:jc w:val="center"/>
              <w:rPr>
                <w:rFonts w:ascii="Times New Roman" w:eastAsia="標楷體" w:hAnsi="Times New Roman" w:cs="Times New Roman"/>
                <w:sz w:val="24"/>
                <w:szCs w:val="24"/>
                <w:lang w:eastAsia="zh-TW"/>
              </w:rPr>
            </w:pPr>
          </w:p>
        </w:tc>
        <w:tc>
          <w:tcPr>
            <w:tcW w:w="426" w:type="dxa"/>
            <w:vMerge/>
            <w:shd w:val="clear" w:color="auto" w:fill="auto"/>
            <w:vAlign w:val="center"/>
          </w:tcPr>
          <w:p w14:paraId="570C4D8C" w14:textId="77777777" w:rsidR="0015520D" w:rsidRPr="00A66E7C" w:rsidRDefault="0015520D" w:rsidP="008D2C85">
            <w:pPr>
              <w:pStyle w:val="TableParagraph"/>
              <w:jc w:val="center"/>
              <w:rPr>
                <w:rFonts w:ascii="Times New Roman" w:eastAsia="標楷體" w:hAnsi="Times New Roman" w:cs="Times New Roman"/>
                <w:sz w:val="24"/>
                <w:szCs w:val="24"/>
                <w:lang w:eastAsia="zh-TW"/>
              </w:rPr>
            </w:pPr>
          </w:p>
        </w:tc>
        <w:tc>
          <w:tcPr>
            <w:tcW w:w="2268" w:type="dxa"/>
            <w:shd w:val="clear" w:color="auto" w:fill="auto"/>
            <w:vAlign w:val="center"/>
          </w:tcPr>
          <w:p w14:paraId="0E07EAA0" w14:textId="615B7210" w:rsidR="0015520D" w:rsidRPr="00A66E7C" w:rsidRDefault="0015520D" w:rsidP="008D2C85">
            <w:pPr>
              <w:pStyle w:val="TableParagraph"/>
              <w:spacing w:line="300" w:lineRule="exact"/>
              <w:ind w:leftChars="20" w:left="48" w:rightChars="20" w:right="48"/>
              <w:rPr>
                <w:rFonts w:ascii="Times New Roman" w:eastAsia="標楷體" w:hAnsi="Times New Roman" w:cs="Times New Roman"/>
                <w:sz w:val="24"/>
                <w:szCs w:val="24"/>
                <w:lang w:eastAsia="zh-TW"/>
              </w:rPr>
            </w:pPr>
            <w:r w:rsidRPr="00A66E7C">
              <w:rPr>
                <w:rFonts w:ascii="Times New Roman" w:eastAsia="標楷體" w:hAnsi="Times New Roman" w:cs="Times New Roman"/>
                <w:sz w:val="24"/>
                <w:szCs w:val="24"/>
                <w:lang w:eastAsia="zh-TW"/>
              </w:rPr>
              <w:t>通過中高級以上或與其相當之</w:t>
            </w:r>
            <w:r>
              <w:rPr>
                <w:rFonts w:ascii="Times New Roman" w:eastAsia="標楷體" w:hAnsi="Times New Roman" w:cs="Times New Roman" w:hint="eastAsia"/>
                <w:sz w:val="24"/>
                <w:szCs w:val="24"/>
                <w:lang w:eastAsia="zh-TW"/>
              </w:rPr>
              <w:t>語言</w:t>
            </w:r>
            <w:r w:rsidRPr="00A66E7C">
              <w:rPr>
                <w:rFonts w:ascii="Times New Roman" w:eastAsia="標楷體" w:hAnsi="Times New Roman" w:cs="Times New Roman"/>
                <w:sz w:val="24"/>
                <w:szCs w:val="24"/>
                <w:lang w:eastAsia="zh-TW"/>
              </w:rPr>
              <w:t>檢測等級者</w:t>
            </w:r>
          </w:p>
        </w:tc>
        <w:tc>
          <w:tcPr>
            <w:tcW w:w="3402" w:type="dxa"/>
            <w:gridSpan w:val="2"/>
            <w:shd w:val="clear" w:color="auto" w:fill="auto"/>
            <w:vAlign w:val="center"/>
          </w:tcPr>
          <w:p w14:paraId="5A8ADF36" w14:textId="0C33C9CD" w:rsidR="0015520D" w:rsidRPr="00A66E7C" w:rsidRDefault="0015520D" w:rsidP="008D2C85">
            <w:pPr>
              <w:pStyle w:val="TableParagraph"/>
              <w:spacing w:line="360" w:lineRule="exact"/>
              <w:jc w:val="center"/>
              <w:rPr>
                <w:rFonts w:ascii="Times New Roman" w:eastAsia="標楷體" w:hAnsi="Times New Roman" w:cs="Times New Roman"/>
                <w:sz w:val="24"/>
                <w:szCs w:val="24"/>
                <w:lang w:eastAsia="zh-TW"/>
              </w:rPr>
            </w:pPr>
            <w:r w:rsidRPr="00A66E7C">
              <w:rPr>
                <w:rFonts w:ascii="Times New Roman" w:eastAsia="標楷體" w:hAnsi="Times New Roman" w:cs="Times New Roman"/>
                <w:sz w:val="24"/>
                <w:szCs w:val="24"/>
              </w:rPr>
              <w:t>2</w:t>
            </w:r>
            <w:r w:rsidRPr="00A66E7C">
              <w:rPr>
                <w:rFonts w:ascii="Times New Roman" w:eastAsia="標楷體" w:hAnsi="Times New Roman" w:cs="Times New Roman"/>
                <w:sz w:val="24"/>
                <w:szCs w:val="24"/>
              </w:rPr>
              <w:t>分</w:t>
            </w:r>
          </w:p>
        </w:tc>
        <w:tc>
          <w:tcPr>
            <w:tcW w:w="6519" w:type="dxa"/>
            <w:vMerge/>
            <w:shd w:val="clear" w:color="auto" w:fill="auto"/>
            <w:vAlign w:val="center"/>
          </w:tcPr>
          <w:p w14:paraId="1CA2065E" w14:textId="77777777" w:rsidR="0015520D" w:rsidRPr="00000B6F" w:rsidRDefault="0015520D" w:rsidP="008D2C85">
            <w:pPr>
              <w:pStyle w:val="TableParagraph"/>
              <w:numPr>
                <w:ilvl w:val="0"/>
                <w:numId w:val="7"/>
              </w:numPr>
              <w:spacing w:line="360" w:lineRule="exact"/>
              <w:ind w:rightChars="50" w:right="120"/>
              <w:jc w:val="both"/>
              <w:rPr>
                <w:rFonts w:ascii="Times New Roman" w:eastAsia="標楷體" w:hAnsi="Times New Roman" w:cs="Times New Roman"/>
                <w:spacing w:val="8"/>
                <w:sz w:val="24"/>
                <w:szCs w:val="24"/>
                <w:lang w:eastAsia="zh-TW"/>
              </w:rPr>
            </w:pPr>
          </w:p>
        </w:tc>
      </w:tr>
      <w:tr w:rsidR="0015520D" w:rsidRPr="00000B6F" w14:paraId="5E3F2816" w14:textId="77777777" w:rsidTr="00C73134">
        <w:trPr>
          <w:trHeight w:val="964"/>
        </w:trPr>
        <w:tc>
          <w:tcPr>
            <w:tcW w:w="1011" w:type="dxa"/>
            <w:vMerge/>
            <w:vAlign w:val="center"/>
          </w:tcPr>
          <w:p w14:paraId="2310B944" w14:textId="77777777" w:rsidR="0015520D" w:rsidRPr="00000B6F" w:rsidRDefault="0015520D" w:rsidP="008D2C85">
            <w:pPr>
              <w:jc w:val="center"/>
              <w:rPr>
                <w:rFonts w:eastAsia="標楷體"/>
                <w:lang w:eastAsia="zh-TW"/>
              </w:rPr>
            </w:pPr>
          </w:p>
        </w:tc>
        <w:tc>
          <w:tcPr>
            <w:tcW w:w="1012" w:type="dxa"/>
            <w:vMerge/>
            <w:shd w:val="clear" w:color="auto" w:fill="auto"/>
            <w:vAlign w:val="center"/>
          </w:tcPr>
          <w:p w14:paraId="53A01E33" w14:textId="77777777" w:rsidR="0015520D" w:rsidRPr="00A66E7C" w:rsidRDefault="0015520D" w:rsidP="008D2C85">
            <w:pPr>
              <w:pStyle w:val="TableParagraph"/>
              <w:jc w:val="center"/>
              <w:rPr>
                <w:rFonts w:ascii="Times New Roman" w:eastAsia="標楷體" w:hAnsi="Times New Roman" w:cs="Times New Roman"/>
                <w:spacing w:val="-4"/>
                <w:sz w:val="24"/>
                <w:szCs w:val="24"/>
                <w:lang w:eastAsia="zh-TW"/>
              </w:rPr>
            </w:pPr>
          </w:p>
        </w:tc>
        <w:tc>
          <w:tcPr>
            <w:tcW w:w="708" w:type="dxa"/>
            <w:vMerge/>
            <w:shd w:val="clear" w:color="auto" w:fill="auto"/>
            <w:vAlign w:val="center"/>
          </w:tcPr>
          <w:p w14:paraId="40B362B8" w14:textId="77777777" w:rsidR="0015520D" w:rsidRPr="00A66E7C" w:rsidRDefault="0015520D" w:rsidP="008D2C85">
            <w:pPr>
              <w:pStyle w:val="TableParagraph"/>
              <w:jc w:val="center"/>
              <w:rPr>
                <w:rFonts w:ascii="Times New Roman" w:eastAsia="標楷體" w:hAnsi="Times New Roman" w:cs="Times New Roman"/>
                <w:sz w:val="24"/>
                <w:szCs w:val="24"/>
                <w:lang w:eastAsia="zh-TW"/>
              </w:rPr>
            </w:pPr>
          </w:p>
        </w:tc>
        <w:tc>
          <w:tcPr>
            <w:tcW w:w="426" w:type="dxa"/>
            <w:vMerge w:val="restart"/>
            <w:shd w:val="clear" w:color="auto" w:fill="auto"/>
            <w:vAlign w:val="center"/>
          </w:tcPr>
          <w:p w14:paraId="1693D6B2" w14:textId="48032564" w:rsidR="0015520D" w:rsidRPr="00A66E7C" w:rsidRDefault="0015520D" w:rsidP="008D2C85">
            <w:pPr>
              <w:pStyle w:val="TableParagraph"/>
              <w:jc w:val="center"/>
              <w:rPr>
                <w:rFonts w:ascii="Times New Roman" w:eastAsia="標楷體" w:hAnsi="Times New Roman" w:cs="Times New Roman"/>
                <w:sz w:val="24"/>
                <w:szCs w:val="24"/>
              </w:rPr>
            </w:pPr>
            <w:r w:rsidRPr="00A66E7C">
              <w:rPr>
                <w:rFonts w:ascii="Times New Roman" w:eastAsia="標楷體" w:hAnsi="Times New Roman" w:cs="Times New Roman"/>
                <w:sz w:val="24"/>
                <w:szCs w:val="24"/>
                <w:lang w:eastAsia="zh-TW"/>
              </w:rPr>
              <w:t>本土語</w:t>
            </w:r>
          </w:p>
        </w:tc>
        <w:tc>
          <w:tcPr>
            <w:tcW w:w="2268" w:type="dxa"/>
            <w:shd w:val="clear" w:color="auto" w:fill="auto"/>
            <w:vAlign w:val="center"/>
          </w:tcPr>
          <w:p w14:paraId="3CDEFEAA" w14:textId="34978D3B" w:rsidR="0015520D" w:rsidRPr="00A66E7C" w:rsidRDefault="0015520D" w:rsidP="008D2C85">
            <w:pPr>
              <w:pStyle w:val="TableParagraph"/>
              <w:spacing w:line="300" w:lineRule="exact"/>
              <w:ind w:leftChars="20" w:left="48" w:rightChars="20" w:right="48"/>
              <w:rPr>
                <w:rFonts w:ascii="Times New Roman" w:eastAsia="標楷體" w:hAnsi="Times New Roman" w:cs="Times New Roman"/>
                <w:sz w:val="24"/>
                <w:szCs w:val="24"/>
                <w:lang w:eastAsia="zh-TW"/>
              </w:rPr>
            </w:pPr>
            <w:r w:rsidRPr="00A66E7C">
              <w:rPr>
                <w:rFonts w:ascii="Times New Roman" w:eastAsia="標楷體" w:hAnsi="Times New Roman" w:cs="Times New Roman"/>
                <w:sz w:val="24"/>
                <w:szCs w:val="24"/>
                <w:lang w:eastAsia="zh-TW"/>
              </w:rPr>
              <w:t>通過初級</w:t>
            </w:r>
            <w:r>
              <w:rPr>
                <w:rFonts w:ascii="Times New Roman" w:eastAsia="標楷體" w:hAnsi="Times New Roman" w:cs="Times New Roman" w:hint="eastAsia"/>
                <w:sz w:val="24"/>
                <w:szCs w:val="24"/>
                <w:lang w:eastAsia="zh-TW"/>
              </w:rPr>
              <w:t>、</w:t>
            </w:r>
            <w:r w:rsidRPr="00A66E7C">
              <w:rPr>
                <w:rFonts w:ascii="Times New Roman" w:eastAsia="標楷體" w:hAnsi="Times New Roman" w:cs="Times New Roman"/>
                <w:sz w:val="24"/>
                <w:szCs w:val="24"/>
                <w:lang w:eastAsia="zh-TW"/>
              </w:rPr>
              <w:t>中級或與其相當之</w:t>
            </w:r>
            <w:r>
              <w:rPr>
                <w:rFonts w:ascii="Times New Roman" w:eastAsia="標楷體" w:hAnsi="Times New Roman" w:cs="Times New Roman" w:hint="eastAsia"/>
                <w:sz w:val="24"/>
                <w:szCs w:val="24"/>
                <w:lang w:eastAsia="zh-TW"/>
              </w:rPr>
              <w:t>語言</w:t>
            </w:r>
            <w:r w:rsidRPr="00A66E7C">
              <w:rPr>
                <w:rFonts w:ascii="Times New Roman" w:eastAsia="標楷體" w:hAnsi="Times New Roman" w:cs="Times New Roman"/>
                <w:sz w:val="24"/>
                <w:szCs w:val="24"/>
                <w:lang w:eastAsia="zh-TW"/>
              </w:rPr>
              <w:t>檢測等級者</w:t>
            </w:r>
          </w:p>
        </w:tc>
        <w:tc>
          <w:tcPr>
            <w:tcW w:w="3402" w:type="dxa"/>
            <w:gridSpan w:val="2"/>
            <w:shd w:val="clear" w:color="auto" w:fill="auto"/>
            <w:vAlign w:val="center"/>
          </w:tcPr>
          <w:p w14:paraId="1902BCFA" w14:textId="028898F7" w:rsidR="0015520D" w:rsidRPr="00A66E7C" w:rsidRDefault="0015520D" w:rsidP="008D2C85">
            <w:pPr>
              <w:pStyle w:val="TableParagraph"/>
              <w:spacing w:line="360" w:lineRule="exact"/>
              <w:jc w:val="center"/>
              <w:rPr>
                <w:rFonts w:ascii="Times New Roman" w:eastAsia="標楷體" w:hAnsi="Times New Roman" w:cs="Times New Roman"/>
                <w:sz w:val="24"/>
                <w:szCs w:val="24"/>
                <w:lang w:eastAsia="zh-TW"/>
              </w:rPr>
            </w:pPr>
            <w:r w:rsidRPr="00A66E7C">
              <w:rPr>
                <w:rFonts w:ascii="Times New Roman" w:eastAsia="標楷體" w:hAnsi="Times New Roman" w:cs="Times New Roman"/>
                <w:sz w:val="24"/>
                <w:szCs w:val="24"/>
              </w:rPr>
              <w:t>1</w:t>
            </w:r>
            <w:r w:rsidRPr="00A66E7C">
              <w:rPr>
                <w:rFonts w:ascii="Times New Roman" w:eastAsia="標楷體" w:hAnsi="Times New Roman" w:cs="Times New Roman"/>
                <w:sz w:val="24"/>
                <w:szCs w:val="24"/>
              </w:rPr>
              <w:t>分</w:t>
            </w:r>
          </w:p>
        </w:tc>
        <w:tc>
          <w:tcPr>
            <w:tcW w:w="6519" w:type="dxa"/>
            <w:vMerge/>
            <w:shd w:val="clear" w:color="auto" w:fill="auto"/>
            <w:vAlign w:val="center"/>
          </w:tcPr>
          <w:p w14:paraId="19188F53" w14:textId="77777777" w:rsidR="0015520D" w:rsidRPr="00000B6F" w:rsidRDefault="0015520D" w:rsidP="008D2C85">
            <w:pPr>
              <w:pStyle w:val="TableParagraph"/>
              <w:spacing w:line="360" w:lineRule="exact"/>
              <w:ind w:rightChars="50" w:right="120"/>
              <w:jc w:val="both"/>
              <w:rPr>
                <w:rFonts w:ascii="Times New Roman" w:eastAsia="標楷體" w:hAnsi="Times New Roman" w:cs="Times New Roman"/>
                <w:spacing w:val="8"/>
                <w:sz w:val="24"/>
                <w:szCs w:val="24"/>
                <w:lang w:eastAsia="zh-TW"/>
              </w:rPr>
            </w:pPr>
          </w:p>
        </w:tc>
      </w:tr>
      <w:tr w:rsidR="0015520D" w:rsidRPr="00000B6F" w14:paraId="339A583E" w14:textId="77777777" w:rsidTr="00C73134">
        <w:trPr>
          <w:trHeight w:val="964"/>
        </w:trPr>
        <w:tc>
          <w:tcPr>
            <w:tcW w:w="1011" w:type="dxa"/>
            <w:vMerge/>
            <w:vAlign w:val="center"/>
          </w:tcPr>
          <w:p w14:paraId="24E5D939" w14:textId="77777777" w:rsidR="0015520D" w:rsidRPr="00000B6F" w:rsidRDefault="0015520D" w:rsidP="008D2C85">
            <w:pPr>
              <w:jc w:val="center"/>
              <w:rPr>
                <w:rFonts w:eastAsia="標楷體"/>
              </w:rPr>
            </w:pPr>
          </w:p>
        </w:tc>
        <w:tc>
          <w:tcPr>
            <w:tcW w:w="1012" w:type="dxa"/>
            <w:vMerge/>
            <w:shd w:val="clear" w:color="auto" w:fill="auto"/>
            <w:vAlign w:val="center"/>
          </w:tcPr>
          <w:p w14:paraId="20CB2ACA" w14:textId="77777777" w:rsidR="0015520D" w:rsidRPr="00A66E7C" w:rsidRDefault="0015520D" w:rsidP="008D2C85">
            <w:pPr>
              <w:pStyle w:val="TableParagraph"/>
              <w:jc w:val="center"/>
              <w:rPr>
                <w:rFonts w:ascii="Times New Roman" w:eastAsia="標楷體" w:hAnsi="Times New Roman" w:cs="Times New Roman"/>
                <w:spacing w:val="-4"/>
                <w:sz w:val="24"/>
                <w:szCs w:val="24"/>
              </w:rPr>
            </w:pPr>
          </w:p>
        </w:tc>
        <w:tc>
          <w:tcPr>
            <w:tcW w:w="708" w:type="dxa"/>
            <w:vMerge/>
            <w:shd w:val="clear" w:color="auto" w:fill="auto"/>
            <w:vAlign w:val="center"/>
          </w:tcPr>
          <w:p w14:paraId="2D353B03" w14:textId="77777777" w:rsidR="0015520D" w:rsidRPr="00A66E7C" w:rsidRDefault="0015520D" w:rsidP="008D2C85">
            <w:pPr>
              <w:pStyle w:val="TableParagraph"/>
              <w:jc w:val="center"/>
              <w:rPr>
                <w:rFonts w:ascii="Times New Roman" w:eastAsia="標楷體" w:hAnsi="Times New Roman" w:cs="Times New Roman"/>
                <w:sz w:val="24"/>
                <w:szCs w:val="24"/>
              </w:rPr>
            </w:pPr>
          </w:p>
        </w:tc>
        <w:tc>
          <w:tcPr>
            <w:tcW w:w="426" w:type="dxa"/>
            <w:vMerge/>
            <w:shd w:val="clear" w:color="auto" w:fill="auto"/>
            <w:vAlign w:val="center"/>
          </w:tcPr>
          <w:p w14:paraId="6E259B55" w14:textId="77777777" w:rsidR="0015520D" w:rsidRPr="00A66E7C" w:rsidRDefault="0015520D" w:rsidP="008D2C85">
            <w:pPr>
              <w:pStyle w:val="TableParagraph"/>
              <w:jc w:val="center"/>
              <w:rPr>
                <w:rFonts w:ascii="Times New Roman" w:eastAsia="標楷體" w:hAnsi="Times New Roman" w:cs="Times New Roman"/>
                <w:sz w:val="24"/>
                <w:szCs w:val="24"/>
                <w:lang w:eastAsia="zh-TW"/>
              </w:rPr>
            </w:pPr>
          </w:p>
        </w:tc>
        <w:tc>
          <w:tcPr>
            <w:tcW w:w="2268" w:type="dxa"/>
            <w:shd w:val="clear" w:color="auto" w:fill="auto"/>
            <w:vAlign w:val="center"/>
          </w:tcPr>
          <w:p w14:paraId="33C50364" w14:textId="7079156A" w:rsidR="0015520D" w:rsidRPr="00A66E7C" w:rsidRDefault="0015520D" w:rsidP="008D2C85">
            <w:pPr>
              <w:pStyle w:val="TableParagraph"/>
              <w:spacing w:line="300" w:lineRule="exact"/>
              <w:ind w:leftChars="20" w:left="48" w:rightChars="20" w:right="48"/>
              <w:rPr>
                <w:rFonts w:ascii="Times New Roman" w:eastAsia="標楷體" w:hAnsi="Times New Roman" w:cs="Times New Roman"/>
                <w:sz w:val="24"/>
                <w:szCs w:val="24"/>
                <w:lang w:eastAsia="zh-TW"/>
              </w:rPr>
            </w:pPr>
            <w:r w:rsidRPr="00A66E7C">
              <w:rPr>
                <w:rFonts w:ascii="Times New Roman" w:eastAsia="標楷體" w:hAnsi="Times New Roman" w:cs="Times New Roman"/>
                <w:sz w:val="24"/>
                <w:szCs w:val="24"/>
                <w:lang w:eastAsia="zh-TW"/>
              </w:rPr>
              <w:t>通過中高級以上或與其相當之</w:t>
            </w:r>
            <w:r>
              <w:rPr>
                <w:rFonts w:ascii="Times New Roman" w:eastAsia="標楷體" w:hAnsi="Times New Roman" w:cs="Times New Roman" w:hint="eastAsia"/>
                <w:sz w:val="24"/>
                <w:szCs w:val="24"/>
                <w:lang w:eastAsia="zh-TW"/>
              </w:rPr>
              <w:t>語言</w:t>
            </w:r>
            <w:r w:rsidRPr="00A66E7C">
              <w:rPr>
                <w:rFonts w:ascii="Times New Roman" w:eastAsia="標楷體" w:hAnsi="Times New Roman" w:cs="Times New Roman"/>
                <w:sz w:val="24"/>
                <w:szCs w:val="24"/>
                <w:lang w:eastAsia="zh-TW"/>
              </w:rPr>
              <w:t>檢測等級者</w:t>
            </w:r>
          </w:p>
        </w:tc>
        <w:tc>
          <w:tcPr>
            <w:tcW w:w="3402" w:type="dxa"/>
            <w:gridSpan w:val="2"/>
            <w:shd w:val="clear" w:color="auto" w:fill="auto"/>
            <w:vAlign w:val="center"/>
          </w:tcPr>
          <w:p w14:paraId="6A3C6EEA" w14:textId="70377A7E" w:rsidR="0015520D" w:rsidRPr="00A66E7C" w:rsidRDefault="0015520D" w:rsidP="008D2C85">
            <w:pPr>
              <w:pStyle w:val="TableParagraph"/>
              <w:spacing w:line="360" w:lineRule="exact"/>
              <w:jc w:val="center"/>
              <w:rPr>
                <w:rFonts w:ascii="Times New Roman" w:eastAsia="標楷體" w:hAnsi="Times New Roman" w:cs="Times New Roman"/>
                <w:sz w:val="24"/>
                <w:szCs w:val="24"/>
                <w:lang w:eastAsia="zh-TW"/>
              </w:rPr>
            </w:pPr>
            <w:r w:rsidRPr="00A66E7C">
              <w:rPr>
                <w:rFonts w:ascii="Times New Roman" w:eastAsia="標楷體" w:hAnsi="Times New Roman" w:cs="Times New Roman"/>
                <w:sz w:val="24"/>
                <w:szCs w:val="24"/>
              </w:rPr>
              <w:t>2</w:t>
            </w:r>
            <w:r w:rsidRPr="00A66E7C">
              <w:rPr>
                <w:rFonts w:ascii="Times New Roman" w:eastAsia="標楷體" w:hAnsi="Times New Roman" w:cs="Times New Roman"/>
                <w:sz w:val="24"/>
                <w:szCs w:val="24"/>
              </w:rPr>
              <w:t>分</w:t>
            </w:r>
          </w:p>
        </w:tc>
        <w:tc>
          <w:tcPr>
            <w:tcW w:w="6519" w:type="dxa"/>
            <w:vMerge/>
            <w:shd w:val="clear" w:color="auto" w:fill="auto"/>
            <w:vAlign w:val="center"/>
          </w:tcPr>
          <w:p w14:paraId="2B77F262" w14:textId="77777777" w:rsidR="0015520D" w:rsidRPr="00000B6F" w:rsidRDefault="0015520D" w:rsidP="008D2C85">
            <w:pPr>
              <w:pStyle w:val="TableParagraph"/>
              <w:numPr>
                <w:ilvl w:val="0"/>
                <w:numId w:val="7"/>
              </w:numPr>
              <w:spacing w:line="360" w:lineRule="exact"/>
              <w:ind w:rightChars="50" w:right="120"/>
              <w:jc w:val="both"/>
              <w:rPr>
                <w:rFonts w:ascii="Times New Roman" w:eastAsia="標楷體" w:hAnsi="Times New Roman" w:cs="Times New Roman"/>
                <w:spacing w:val="8"/>
                <w:sz w:val="24"/>
                <w:szCs w:val="24"/>
                <w:lang w:eastAsia="zh-TW"/>
              </w:rPr>
            </w:pPr>
          </w:p>
        </w:tc>
      </w:tr>
      <w:tr w:rsidR="0015520D" w:rsidRPr="00000B6F" w14:paraId="71D5A3E8" w14:textId="77777777" w:rsidTr="00803F57">
        <w:trPr>
          <w:trHeight w:val="1685"/>
        </w:trPr>
        <w:tc>
          <w:tcPr>
            <w:tcW w:w="1011" w:type="dxa"/>
            <w:vMerge/>
            <w:vAlign w:val="center"/>
          </w:tcPr>
          <w:p w14:paraId="32AE2EA7" w14:textId="77777777" w:rsidR="0015520D" w:rsidRPr="00000B6F" w:rsidRDefault="0015520D" w:rsidP="008D2C85">
            <w:pPr>
              <w:jc w:val="center"/>
              <w:rPr>
                <w:rFonts w:eastAsia="標楷體"/>
              </w:rPr>
            </w:pPr>
          </w:p>
        </w:tc>
        <w:tc>
          <w:tcPr>
            <w:tcW w:w="1012" w:type="dxa"/>
            <w:vMerge/>
            <w:shd w:val="clear" w:color="auto" w:fill="auto"/>
            <w:vAlign w:val="center"/>
          </w:tcPr>
          <w:p w14:paraId="5F409143" w14:textId="77777777" w:rsidR="0015520D" w:rsidRPr="00A66E7C" w:rsidRDefault="0015520D" w:rsidP="008D2C85">
            <w:pPr>
              <w:pStyle w:val="TableParagraph"/>
              <w:jc w:val="center"/>
              <w:rPr>
                <w:rFonts w:ascii="Times New Roman" w:eastAsia="標楷體" w:hAnsi="Times New Roman" w:cs="Times New Roman"/>
                <w:spacing w:val="-4"/>
                <w:sz w:val="24"/>
                <w:szCs w:val="24"/>
              </w:rPr>
            </w:pPr>
          </w:p>
        </w:tc>
        <w:tc>
          <w:tcPr>
            <w:tcW w:w="708" w:type="dxa"/>
            <w:shd w:val="clear" w:color="auto" w:fill="auto"/>
            <w:vAlign w:val="center"/>
          </w:tcPr>
          <w:p w14:paraId="4B1193F3" w14:textId="32FFBFFD" w:rsidR="0015520D" w:rsidRPr="00A66E7C" w:rsidRDefault="0015520D" w:rsidP="008D2C85">
            <w:pPr>
              <w:pStyle w:val="TableParagraph"/>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數位</w:t>
            </w:r>
            <w:r w:rsidRPr="00A66E7C">
              <w:rPr>
                <w:rFonts w:ascii="Times New Roman" w:eastAsia="標楷體" w:hAnsi="Times New Roman" w:cs="Times New Roman"/>
                <w:sz w:val="24"/>
                <w:szCs w:val="24"/>
                <w:lang w:eastAsia="zh-TW"/>
              </w:rPr>
              <w:t>資訊知能</w:t>
            </w:r>
          </w:p>
        </w:tc>
        <w:tc>
          <w:tcPr>
            <w:tcW w:w="2694" w:type="dxa"/>
            <w:gridSpan w:val="2"/>
            <w:shd w:val="clear" w:color="auto" w:fill="auto"/>
            <w:vAlign w:val="center"/>
          </w:tcPr>
          <w:p w14:paraId="7C65BE98" w14:textId="2E633AAD" w:rsidR="0015520D" w:rsidRPr="00A66E7C" w:rsidRDefault="0015520D" w:rsidP="008D2C85">
            <w:pPr>
              <w:pStyle w:val="TableParagraph"/>
              <w:spacing w:line="300" w:lineRule="exact"/>
              <w:ind w:leftChars="20" w:left="48" w:rightChars="20" w:right="48"/>
              <w:jc w:val="both"/>
              <w:rPr>
                <w:rFonts w:ascii="Times New Roman" w:eastAsia="標楷體" w:hAnsi="Times New Roman" w:cs="Times New Roman"/>
                <w:sz w:val="24"/>
                <w:szCs w:val="24"/>
                <w:lang w:eastAsia="zh-TW"/>
              </w:rPr>
            </w:pPr>
            <w:r w:rsidRPr="00A66E7C">
              <w:rPr>
                <w:rFonts w:ascii="Times New Roman" w:eastAsia="標楷體" w:hAnsi="Times New Roman" w:cs="Times New Roman" w:hint="eastAsia"/>
                <w:sz w:val="24"/>
                <w:szCs w:val="24"/>
                <w:lang w:eastAsia="zh-TW"/>
              </w:rPr>
              <w:t>包含辦公軟體應用類（不包含打字類）、影像處理類、資料庫應用類、作業系統類及</w:t>
            </w:r>
            <w:r w:rsidRPr="0017462D">
              <w:rPr>
                <w:rFonts w:ascii="Times New Roman" w:eastAsia="標楷體" w:hAnsi="Times New Roman" w:cs="Times New Roman" w:hint="eastAsia"/>
                <w:sz w:val="24"/>
                <w:szCs w:val="24"/>
                <w:lang w:eastAsia="zh-TW"/>
              </w:rPr>
              <w:t>數位資訊</w:t>
            </w:r>
            <w:r w:rsidRPr="00A66E7C">
              <w:rPr>
                <w:rFonts w:ascii="Times New Roman" w:eastAsia="標楷體" w:hAnsi="Times New Roman" w:cs="Times New Roman" w:hint="eastAsia"/>
                <w:sz w:val="24"/>
                <w:szCs w:val="24"/>
                <w:lang w:eastAsia="zh-TW"/>
              </w:rPr>
              <w:t>專業知識領域類</w:t>
            </w:r>
          </w:p>
        </w:tc>
        <w:tc>
          <w:tcPr>
            <w:tcW w:w="3402" w:type="dxa"/>
            <w:gridSpan w:val="2"/>
            <w:shd w:val="clear" w:color="auto" w:fill="auto"/>
            <w:vAlign w:val="center"/>
          </w:tcPr>
          <w:p w14:paraId="51E29926" w14:textId="3775403C" w:rsidR="0015520D" w:rsidRPr="00A66E7C" w:rsidRDefault="0015520D" w:rsidP="008D2C85">
            <w:pPr>
              <w:pStyle w:val="TableParagraph"/>
              <w:spacing w:line="360" w:lineRule="exact"/>
              <w:jc w:val="center"/>
              <w:rPr>
                <w:rFonts w:ascii="Times New Roman" w:eastAsia="標楷體" w:hAnsi="Times New Roman" w:cs="Times New Roman"/>
                <w:sz w:val="24"/>
                <w:szCs w:val="24"/>
                <w:lang w:eastAsia="zh-TW"/>
              </w:rPr>
            </w:pPr>
            <w:r w:rsidRPr="00A66E7C">
              <w:rPr>
                <w:rFonts w:ascii="Times New Roman" w:eastAsia="標楷體" w:hAnsi="Times New Roman" w:cs="Times New Roman"/>
                <w:sz w:val="24"/>
                <w:szCs w:val="24"/>
              </w:rPr>
              <w:t>2</w:t>
            </w:r>
            <w:r w:rsidRPr="00A66E7C">
              <w:rPr>
                <w:rFonts w:ascii="Times New Roman" w:eastAsia="標楷體" w:hAnsi="Times New Roman" w:cs="Times New Roman"/>
                <w:sz w:val="24"/>
                <w:szCs w:val="24"/>
              </w:rPr>
              <w:t>分</w:t>
            </w:r>
          </w:p>
        </w:tc>
        <w:tc>
          <w:tcPr>
            <w:tcW w:w="6519" w:type="dxa"/>
            <w:vMerge/>
            <w:shd w:val="clear" w:color="auto" w:fill="auto"/>
            <w:vAlign w:val="center"/>
          </w:tcPr>
          <w:p w14:paraId="7D1A37A5" w14:textId="77777777" w:rsidR="0015520D" w:rsidRPr="00000B6F" w:rsidRDefault="0015520D" w:rsidP="008D2C85">
            <w:pPr>
              <w:pStyle w:val="TableParagraph"/>
              <w:spacing w:line="360" w:lineRule="exact"/>
              <w:ind w:rightChars="50" w:right="120"/>
              <w:jc w:val="both"/>
              <w:rPr>
                <w:rFonts w:ascii="Times New Roman" w:eastAsia="標楷體" w:hAnsi="Times New Roman" w:cs="Times New Roman"/>
                <w:spacing w:val="8"/>
                <w:sz w:val="24"/>
                <w:szCs w:val="24"/>
                <w:lang w:eastAsia="zh-TW"/>
              </w:rPr>
            </w:pPr>
          </w:p>
        </w:tc>
      </w:tr>
      <w:tr w:rsidR="0015520D" w:rsidRPr="00000B6F" w14:paraId="6A757299" w14:textId="77777777" w:rsidTr="00C73134">
        <w:trPr>
          <w:trHeight w:val="733"/>
        </w:trPr>
        <w:tc>
          <w:tcPr>
            <w:tcW w:w="1011" w:type="dxa"/>
            <w:vMerge/>
            <w:vAlign w:val="center"/>
          </w:tcPr>
          <w:p w14:paraId="6D77F76D" w14:textId="77777777" w:rsidR="0015520D" w:rsidRPr="00000B6F" w:rsidRDefault="0015520D" w:rsidP="008D2C85">
            <w:pPr>
              <w:jc w:val="center"/>
              <w:rPr>
                <w:rFonts w:eastAsia="標楷體"/>
              </w:rPr>
            </w:pPr>
          </w:p>
        </w:tc>
        <w:tc>
          <w:tcPr>
            <w:tcW w:w="1012" w:type="dxa"/>
            <w:vMerge/>
            <w:shd w:val="clear" w:color="auto" w:fill="auto"/>
            <w:vAlign w:val="center"/>
          </w:tcPr>
          <w:p w14:paraId="2E5BFA06" w14:textId="77777777" w:rsidR="0015520D" w:rsidRPr="00A66E7C" w:rsidRDefault="0015520D" w:rsidP="008D2C85">
            <w:pPr>
              <w:pStyle w:val="TableParagraph"/>
              <w:jc w:val="center"/>
              <w:rPr>
                <w:rFonts w:ascii="Times New Roman" w:eastAsia="標楷體" w:hAnsi="Times New Roman" w:cs="Times New Roman"/>
                <w:spacing w:val="-4"/>
                <w:sz w:val="24"/>
                <w:szCs w:val="24"/>
              </w:rPr>
            </w:pPr>
          </w:p>
        </w:tc>
        <w:tc>
          <w:tcPr>
            <w:tcW w:w="3402" w:type="dxa"/>
            <w:gridSpan w:val="3"/>
            <w:shd w:val="clear" w:color="auto" w:fill="auto"/>
            <w:vAlign w:val="center"/>
          </w:tcPr>
          <w:p w14:paraId="4ADD37F1" w14:textId="4AD8CA8E" w:rsidR="0015520D" w:rsidRPr="00A66E7C" w:rsidRDefault="0015520D" w:rsidP="008D2C85">
            <w:pPr>
              <w:pStyle w:val="TableParagraph"/>
              <w:spacing w:line="300" w:lineRule="exact"/>
              <w:ind w:leftChars="20" w:left="48" w:rightChars="20" w:right="48"/>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淨零學院證照課程證書</w:t>
            </w:r>
          </w:p>
        </w:tc>
        <w:tc>
          <w:tcPr>
            <w:tcW w:w="3402" w:type="dxa"/>
            <w:gridSpan w:val="2"/>
            <w:shd w:val="clear" w:color="auto" w:fill="auto"/>
            <w:vAlign w:val="center"/>
          </w:tcPr>
          <w:p w14:paraId="23B7E3DB" w14:textId="19392735" w:rsidR="0015520D" w:rsidRPr="00A66E7C" w:rsidRDefault="0015520D" w:rsidP="008D2C85">
            <w:pPr>
              <w:pStyle w:val="TableParagraph"/>
              <w:spacing w:line="360" w:lineRule="exact"/>
              <w:jc w:val="center"/>
              <w:rPr>
                <w:rFonts w:ascii="Times New Roman" w:eastAsia="標楷體" w:hAnsi="Times New Roman" w:cs="Times New Roman"/>
                <w:sz w:val="24"/>
                <w:szCs w:val="24"/>
              </w:rPr>
            </w:pPr>
            <w:r w:rsidRPr="00A66E7C">
              <w:rPr>
                <w:rFonts w:ascii="Times New Roman" w:eastAsia="標楷體" w:hAnsi="Times New Roman" w:cs="Times New Roman"/>
                <w:sz w:val="24"/>
                <w:szCs w:val="24"/>
              </w:rPr>
              <w:t>2</w:t>
            </w:r>
            <w:r w:rsidRPr="00A66E7C">
              <w:rPr>
                <w:rFonts w:ascii="Times New Roman" w:eastAsia="標楷體" w:hAnsi="Times New Roman" w:cs="Times New Roman"/>
                <w:sz w:val="24"/>
                <w:szCs w:val="24"/>
              </w:rPr>
              <w:t>分</w:t>
            </w:r>
          </w:p>
        </w:tc>
        <w:tc>
          <w:tcPr>
            <w:tcW w:w="6519" w:type="dxa"/>
            <w:vMerge/>
            <w:shd w:val="clear" w:color="auto" w:fill="auto"/>
            <w:vAlign w:val="center"/>
          </w:tcPr>
          <w:p w14:paraId="60AD1116" w14:textId="77777777" w:rsidR="0015520D" w:rsidRPr="00000B6F" w:rsidRDefault="0015520D" w:rsidP="008D2C85">
            <w:pPr>
              <w:pStyle w:val="TableParagraph"/>
              <w:spacing w:line="360" w:lineRule="exact"/>
              <w:ind w:rightChars="50" w:right="120"/>
              <w:jc w:val="both"/>
              <w:rPr>
                <w:rFonts w:ascii="Times New Roman" w:eastAsia="標楷體" w:hAnsi="Times New Roman" w:cs="Times New Roman"/>
                <w:spacing w:val="8"/>
                <w:sz w:val="24"/>
                <w:szCs w:val="24"/>
                <w:lang w:eastAsia="zh-TW"/>
              </w:rPr>
            </w:pPr>
          </w:p>
        </w:tc>
      </w:tr>
      <w:tr w:rsidR="0015520D" w:rsidRPr="00000B6F" w14:paraId="1858F8D6" w14:textId="77777777" w:rsidTr="00961CDC">
        <w:trPr>
          <w:trHeight w:val="1492"/>
        </w:trPr>
        <w:tc>
          <w:tcPr>
            <w:tcW w:w="1011" w:type="dxa"/>
            <w:vMerge/>
            <w:vAlign w:val="center"/>
          </w:tcPr>
          <w:p w14:paraId="2DE4E12B" w14:textId="77777777" w:rsidR="0015520D" w:rsidRPr="00000B6F" w:rsidRDefault="0015520D" w:rsidP="008D2C85">
            <w:pPr>
              <w:jc w:val="center"/>
              <w:rPr>
                <w:rFonts w:eastAsia="標楷體"/>
                <w:lang w:eastAsia="zh-TW"/>
              </w:rPr>
            </w:pPr>
          </w:p>
        </w:tc>
        <w:tc>
          <w:tcPr>
            <w:tcW w:w="1012" w:type="dxa"/>
            <w:vMerge w:val="restart"/>
            <w:shd w:val="clear" w:color="auto" w:fill="auto"/>
            <w:vAlign w:val="center"/>
          </w:tcPr>
          <w:p w14:paraId="53DFAA08" w14:textId="77777777" w:rsidR="0015520D" w:rsidRPr="00CE22CD" w:rsidRDefault="0015520D" w:rsidP="008D2C85">
            <w:pPr>
              <w:pStyle w:val="TableParagraph"/>
              <w:jc w:val="center"/>
              <w:rPr>
                <w:rFonts w:ascii="Times New Roman" w:eastAsia="標楷體" w:hAnsi="Times New Roman" w:cs="Times New Roman"/>
                <w:sz w:val="24"/>
                <w:szCs w:val="24"/>
              </w:rPr>
            </w:pPr>
            <w:r w:rsidRPr="00CE22CD">
              <w:rPr>
                <w:rFonts w:ascii="Times New Roman" w:eastAsia="標楷體" w:hAnsi="Times New Roman" w:cs="Times New Roman" w:hint="eastAsia"/>
                <w:sz w:val="24"/>
                <w:szCs w:val="24"/>
              </w:rPr>
              <w:t>職務</w:t>
            </w:r>
          </w:p>
          <w:p w14:paraId="409EF4D4" w14:textId="468AC993" w:rsidR="0015520D" w:rsidRPr="00CE22CD" w:rsidRDefault="0015520D" w:rsidP="008D2C85">
            <w:pPr>
              <w:pStyle w:val="TableParagraph"/>
              <w:jc w:val="center"/>
              <w:rPr>
                <w:rFonts w:ascii="Times New Roman" w:eastAsia="標楷體" w:hAnsi="Times New Roman" w:cs="Times New Roman"/>
                <w:sz w:val="24"/>
                <w:szCs w:val="24"/>
              </w:rPr>
            </w:pPr>
            <w:r w:rsidRPr="00CE22CD">
              <w:rPr>
                <w:rFonts w:ascii="Times New Roman" w:eastAsia="標楷體" w:hAnsi="Times New Roman" w:cs="Times New Roman" w:hint="eastAsia"/>
                <w:sz w:val="24"/>
                <w:szCs w:val="24"/>
              </w:rPr>
              <w:t>歷練</w:t>
            </w:r>
          </w:p>
        </w:tc>
        <w:tc>
          <w:tcPr>
            <w:tcW w:w="3402" w:type="dxa"/>
            <w:gridSpan w:val="3"/>
            <w:shd w:val="clear" w:color="auto" w:fill="auto"/>
            <w:vAlign w:val="center"/>
          </w:tcPr>
          <w:p w14:paraId="2D234A6D" w14:textId="6B25B666" w:rsidR="0015520D" w:rsidRPr="00CE22CD" w:rsidRDefault="0015520D" w:rsidP="008D2C85">
            <w:pPr>
              <w:pStyle w:val="TableParagraph"/>
              <w:jc w:val="center"/>
              <w:rPr>
                <w:rFonts w:ascii="Times New Roman" w:eastAsia="標楷體" w:hAnsi="Times New Roman" w:cs="Times New Roman"/>
                <w:sz w:val="24"/>
                <w:szCs w:val="24"/>
              </w:rPr>
            </w:pPr>
            <w:r w:rsidRPr="00CE22CD">
              <w:rPr>
                <w:rFonts w:ascii="Times New Roman" w:eastAsia="標楷體" w:hAnsi="Times New Roman" w:cs="Times New Roman" w:hint="eastAsia"/>
                <w:sz w:val="24"/>
                <w:szCs w:val="24"/>
              </w:rPr>
              <w:t>主管職務之年資</w:t>
            </w:r>
          </w:p>
        </w:tc>
        <w:tc>
          <w:tcPr>
            <w:tcW w:w="3402" w:type="dxa"/>
            <w:gridSpan w:val="2"/>
            <w:shd w:val="clear" w:color="auto" w:fill="auto"/>
            <w:vAlign w:val="center"/>
          </w:tcPr>
          <w:p w14:paraId="790C80C7" w14:textId="72E7B42B" w:rsidR="0015520D" w:rsidRPr="00CE22CD" w:rsidRDefault="0015520D" w:rsidP="008D2C85">
            <w:pPr>
              <w:pStyle w:val="TableParagraph"/>
              <w:jc w:val="center"/>
              <w:rPr>
                <w:rFonts w:ascii="Times New Roman" w:eastAsia="標楷體" w:hAnsi="Times New Roman" w:cs="Times New Roman"/>
                <w:sz w:val="24"/>
                <w:szCs w:val="24"/>
              </w:rPr>
            </w:pPr>
            <w:r w:rsidRPr="00CE22CD">
              <w:rPr>
                <w:rFonts w:ascii="Times New Roman" w:eastAsia="標楷體" w:hAnsi="Times New Roman" w:cs="Times New Roman" w:hint="eastAsia"/>
                <w:sz w:val="24"/>
                <w:szCs w:val="24"/>
                <w:lang w:eastAsia="zh-TW"/>
              </w:rPr>
              <w:t>一年</w:t>
            </w:r>
            <w:r w:rsidRPr="00CE22CD">
              <w:rPr>
                <w:rFonts w:ascii="Times New Roman" w:eastAsia="標楷體" w:hAnsi="Times New Roman" w:cs="Times New Roman" w:hint="eastAsia"/>
                <w:sz w:val="24"/>
                <w:szCs w:val="24"/>
                <w:lang w:eastAsia="zh-TW"/>
              </w:rPr>
              <w:t>1</w:t>
            </w:r>
            <w:r w:rsidRPr="00CE22CD">
              <w:rPr>
                <w:rFonts w:ascii="Times New Roman" w:eastAsia="標楷體" w:hAnsi="Times New Roman" w:cs="Times New Roman" w:hint="eastAsia"/>
                <w:sz w:val="24"/>
                <w:szCs w:val="24"/>
                <w:lang w:eastAsia="zh-TW"/>
              </w:rPr>
              <w:t>分</w:t>
            </w:r>
          </w:p>
        </w:tc>
        <w:tc>
          <w:tcPr>
            <w:tcW w:w="6519" w:type="dxa"/>
            <w:vMerge w:val="restart"/>
            <w:shd w:val="clear" w:color="auto" w:fill="auto"/>
            <w:vAlign w:val="center"/>
          </w:tcPr>
          <w:p w14:paraId="0AE2E243" w14:textId="0FA91C8D" w:rsidR="0015520D" w:rsidRPr="00356BD3" w:rsidRDefault="0015520D" w:rsidP="008D2C85">
            <w:pPr>
              <w:pStyle w:val="TableParagraph"/>
              <w:numPr>
                <w:ilvl w:val="0"/>
                <w:numId w:val="22"/>
              </w:numPr>
              <w:spacing w:line="400" w:lineRule="exact"/>
              <w:ind w:rightChars="50" w:right="120"/>
              <w:jc w:val="both"/>
              <w:rPr>
                <w:rFonts w:ascii="Times New Roman" w:eastAsia="標楷體" w:hAnsi="Times New Roman" w:cs="Times New Roman"/>
                <w:sz w:val="24"/>
                <w:szCs w:val="24"/>
                <w:lang w:eastAsia="zh-TW"/>
              </w:rPr>
            </w:pPr>
            <w:r w:rsidRPr="00356BD3">
              <w:rPr>
                <w:rFonts w:ascii="Times New Roman" w:eastAsia="標楷體" w:hAnsi="Times New Roman" w:cs="Times New Roman" w:hint="eastAsia"/>
                <w:sz w:val="24"/>
                <w:szCs w:val="24"/>
                <w:lang w:eastAsia="zh-TW"/>
              </w:rPr>
              <w:t>本項配分，最高以</w:t>
            </w:r>
            <w:r w:rsidR="00356BD3" w:rsidRPr="00356BD3">
              <w:rPr>
                <w:rFonts w:ascii="Times New Roman" w:eastAsia="標楷體" w:hAnsi="Times New Roman" w:cs="Times New Roman" w:hint="eastAsia"/>
                <w:sz w:val="24"/>
                <w:szCs w:val="24"/>
                <w:lang w:eastAsia="zh-TW"/>
              </w:rPr>
              <w:t>6</w:t>
            </w:r>
            <w:r w:rsidRPr="00356BD3">
              <w:rPr>
                <w:rFonts w:ascii="Times New Roman" w:eastAsia="標楷體" w:hAnsi="Times New Roman" w:cs="Times New Roman" w:hint="eastAsia"/>
                <w:sz w:val="24"/>
                <w:szCs w:val="24"/>
                <w:lang w:eastAsia="zh-TW"/>
              </w:rPr>
              <w:t>分為限。</w:t>
            </w:r>
          </w:p>
          <w:p w14:paraId="52B8355C" w14:textId="765BDDD9" w:rsidR="0015520D" w:rsidRDefault="0015520D" w:rsidP="008D2C85">
            <w:pPr>
              <w:pStyle w:val="TableParagraph"/>
              <w:numPr>
                <w:ilvl w:val="0"/>
                <w:numId w:val="22"/>
              </w:numPr>
              <w:spacing w:line="400" w:lineRule="exact"/>
              <w:ind w:rightChars="50" w:right="12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以</w:t>
            </w:r>
            <w:r w:rsidRPr="00887964">
              <w:rPr>
                <w:rFonts w:ascii="Times New Roman" w:eastAsia="標楷體" w:hAnsi="Times New Roman" w:cs="Times New Roman" w:hint="eastAsia"/>
                <w:sz w:val="24"/>
                <w:szCs w:val="24"/>
                <w:lang w:eastAsia="zh-TW"/>
              </w:rPr>
              <w:t>同職務列等或同陞遷序列之年資，且年終考績經考列乙等以上且未受申誡以上處分者，</w:t>
            </w:r>
            <w:r>
              <w:rPr>
                <w:rFonts w:ascii="Times New Roman" w:eastAsia="標楷體" w:hAnsi="Times New Roman" w:cs="Times New Roman" w:hint="eastAsia"/>
                <w:sz w:val="24"/>
                <w:szCs w:val="24"/>
                <w:lang w:eastAsia="zh-TW"/>
              </w:rPr>
              <w:t>始予採計</w:t>
            </w:r>
            <w:r w:rsidRPr="00887964">
              <w:rPr>
                <w:rFonts w:ascii="Times New Roman" w:eastAsia="標楷體" w:hAnsi="Times New Roman" w:cs="Times New Roman" w:hint="eastAsia"/>
                <w:sz w:val="24"/>
                <w:szCs w:val="24"/>
                <w:lang w:eastAsia="zh-TW"/>
              </w:rPr>
              <w:t>。</w:t>
            </w:r>
          </w:p>
          <w:p w14:paraId="6FB5465B" w14:textId="0110920E" w:rsidR="0015520D" w:rsidRPr="00887964" w:rsidRDefault="0015520D" w:rsidP="008D2C85">
            <w:pPr>
              <w:pStyle w:val="TableParagraph"/>
              <w:numPr>
                <w:ilvl w:val="0"/>
                <w:numId w:val="22"/>
              </w:numPr>
              <w:spacing w:line="400" w:lineRule="exact"/>
              <w:ind w:rightChars="50" w:right="120"/>
              <w:jc w:val="both"/>
              <w:rPr>
                <w:rFonts w:ascii="Times New Roman" w:eastAsia="標楷體" w:hAnsi="Times New Roman" w:cs="Times New Roman"/>
                <w:sz w:val="24"/>
                <w:szCs w:val="24"/>
                <w:lang w:eastAsia="zh-TW"/>
              </w:rPr>
            </w:pPr>
            <w:r w:rsidRPr="00887964">
              <w:rPr>
                <w:rFonts w:ascii="Times New Roman" w:eastAsia="標楷體" w:hAnsi="Times New Roman" w:cs="Times New Roman" w:hint="eastAsia"/>
                <w:sz w:val="24"/>
                <w:szCs w:val="24"/>
                <w:lang w:eastAsia="zh-TW"/>
              </w:rPr>
              <w:t>年資合計滿半年未滿</w:t>
            </w:r>
            <w:r w:rsidRPr="00887964">
              <w:rPr>
                <w:rFonts w:ascii="Times New Roman" w:eastAsia="標楷體" w:hAnsi="Times New Roman" w:cs="Times New Roman" w:hint="eastAsia"/>
                <w:sz w:val="24"/>
                <w:szCs w:val="24"/>
                <w:lang w:eastAsia="zh-TW"/>
              </w:rPr>
              <w:t>1</w:t>
            </w:r>
            <w:r w:rsidRPr="00887964">
              <w:rPr>
                <w:rFonts w:ascii="Times New Roman" w:eastAsia="標楷體" w:hAnsi="Times New Roman" w:cs="Times New Roman" w:hint="eastAsia"/>
                <w:sz w:val="24"/>
                <w:szCs w:val="24"/>
                <w:lang w:eastAsia="zh-TW"/>
              </w:rPr>
              <w:t>年者，以</w:t>
            </w:r>
            <w:r w:rsidRPr="00887964">
              <w:rPr>
                <w:rFonts w:ascii="Times New Roman" w:eastAsia="標楷體" w:hAnsi="Times New Roman" w:cs="Times New Roman" w:hint="eastAsia"/>
                <w:sz w:val="24"/>
                <w:szCs w:val="24"/>
                <w:lang w:eastAsia="zh-TW"/>
              </w:rPr>
              <w:t>1</w:t>
            </w:r>
            <w:r w:rsidRPr="00887964">
              <w:rPr>
                <w:rFonts w:ascii="Times New Roman" w:eastAsia="標楷體" w:hAnsi="Times New Roman" w:cs="Times New Roman" w:hint="eastAsia"/>
                <w:sz w:val="24"/>
                <w:szCs w:val="24"/>
                <w:lang w:eastAsia="zh-TW"/>
              </w:rPr>
              <w:t>年計；未滿半年者以半年計。代理主管年資應滿</w:t>
            </w:r>
            <w:r w:rsidRPr="00887964">
              <w:rPr>
                <w:rFonts w:ascii="Times New Roman" w:eastAsia="標楷體" w:hAnsi="Times New Roman" w:cs="Times New Roman" w:hint="eastAsia"/>
                <w:sz w:val="24"/>
                <w:szCs w:val="24"/>
                <w:lang w:eastAsia="zh-TW"/>
              </w:rPr>
              <w:t>1</w:t>
            </w:r>
            <w:r w:rsidRPr="00887964">
              <w:rPr>
                <w:rFonts w:ascii="Times New Roman" w:eastAsia="標楷體" w:hAnsi="Times New Roman" w:cs="Times New Roman" w:hint="eastAsia"/>
                <w:sz w:val="24"/>
                <w:szCs w:val="24"/>
                <w:lang w:eastAsia="zh-TW"/>
              </w:rPr>
              <w:t>個月始予採計。同年度內具同職務列等主管及非主管年資者，按當年度在職月數比例分別計算。</w:t>
            </w:r>
          </w:p>
        </w:tc>
      </w:tr>
      <w:tr w:rsidR="0015520D" w:rsidRPr="00000B6F" w14:paraId="21371962" w14:textId="77777777" w:rsidTr="005571BC">
        <w:trPr>
          <w:trHeight w:val="1318"/>
        </w:trPr>
        <w:tc>
          <w:tcPr>
            <w:tcW w:w="1011" w:type="dxa"/>
            <w:vMerge/>
            <w:vAlign w:val="center"/>
          </w:tcPr>
          <w:p w14:paraId="540D06FC" w14:textId="77777777" w:rsidR="0015520D" w:rsidRPr="00000B6F" w:rsidRDefault="0015520D" w:rsidP="008D2C85">
            <w:pPr>
              <w:jc w:val="center"/>
              <w:rPr>
                <w:rFonts w:eastAsia="標楷體"/>
                <w:lang w:eastAsia="zh-TW"/>
              </w:rPr>
            </w:pPr>
          </w:p>
        </w:tc>
        <w:tc>
          <w:tcPr>
            <w:tcW w:w="1012" w:type="dxa"/>
            <w:vMerge/>
            <w:shd w:val="clear" w:color="auto" w:fill="auto"/>
            <w:vAlign w:val="center"/>
          </w:tcPr>
          <w:p w14:paraId="12D1CE03" w14:textId="77777777" w:rsidR="0015520D" w:rsidRPr="00CE22CD" w:rsidRDefault="0015520D" w:rsidP="008D2C85">
            <w:pPr>
              <w:pStyle w:val="TableParagraph"/>
              <w:jc w:val="center"/>
              <w:rPr>
                <w:rFonts w:ascii="Times New Roman" w:eastAsia="標楷體" w:hAnsi="Times New Roman" w:cs="Times New Roman"/>
                <w:sz w:val="24"/>
                <w:szCs w:val="24"/>
                <w:lang w:eastAsia="zh-TW"/>
              </w:rPr>
            </w:pPr>
          </w:p>
        </w:tc>
        <w:tc>
          <w:tcPr>
            <w:tcW w:w="3402" w:type="dxa"/>
            <w:gridSpan w:val="3"/>
            <w:shd w:val="clear" w:color="auto" w:fill="auto"/>
            <w:vAlign w:val="center"/>
          </w:tcPr>
          <w:p w14:paraId="15D9021D" w14:textId="478AEDB4" w:rsidR="0015520D" w:rsidRPr="00CE22CD" w:rsidRDefault="0015520D" w:rsidP="008D2C85">
            <w:pPr>
              <w:pStyle w:val="TableParagraph"/>
              <w:jc w:val="center"/>
              <w:rPr>
                <w:rFonts w:ascii="Times New Roman" w:eastAsia="標楷體" w:hAnsi="Times New Roman" w:cs="Times New Roman"/>
                <w:sz w:val="24"/>
                <w:szCs w:val="24"/>
              </w:rPr>
            </w:pPr>
            <w:r w:rsidRPr="00CE22CD">
              <w:rPr>
                <w:rFonts w:ascii="Times New Roman" w:eastAsia="標楷體" w:hAnsi="Times New Roman" w:cs="Times New Roman"/>
                <w:sz w:val="24"/>
                <w:szCs w:val="24"/>
              </w:rPr>
              <w:t>非主管職務之年資</w:t>
            </w:r>
          </w:p>
        </w:tc>
        <w:tc>
          <w:tcPr>
            <w:tcW w:w="3402" w:type="dxa"/>
            <w:gridSpan w:val="2"/>
            <w:shd w:val="clear" w:color="auto" w:fill="auto"/>
            <w:vAlign w:val="center"/>
          </w:tcPr>
          <w:p w14:paraId="553383A1" w14:textId="2D842DA2" w:rsidR="0015520D" w:rsidRPr="00CE22CD" w:rsidRDefault="0015520D" w:rsidP="008D2C85">
            <w:pPr>
              <w:pStyle w:val="TableParagraph"/>
              <w:jc w:val="center"/>
              <w:rPr>
                <w:rFonts w:ascii="Times New Roman" w:eastAsia="標楷體" w:hAnsi="Times New Roman" w:cs="Times New Roman"/>
                <w:sz w:val="24"/>
                <w:szCs w:val="24"/>
              </w:rPr>
            </w:pPr>
            <w:r w:rsidRPr="00CE22CD">
              <w:rPr>
                <w:rFonts w:ascii="Times New Roman" w:eastAsia="標楷體" w:hAnsi="Times New Roman" w:cs="Times New Roman" w:hint="eastAsia"/>
                <w:sz w:val="24"/>
                <w:szCs w:val="24"/>
                <w:lang w:eastAsia="zh-TW"/>
              </w:rPr>
              <w:t>一年</w:t>
            </w:r>
            <w:r w:rsidRPr="00CE22CD">
              <w:rPr>
                <w:rFonts w:ascii="Times New Roman" w:eastAsia="標楷體" w:hAnsi="Times New Roman" w:cs="Times New Roman" w:hint="eastAsia"/>
                <w:sz w:val="24"/>
                <w:szCs w:val="24"/>
                <w:lang w:eastAsia="zh-TW"/>
              </w:rPr>
              <w:t>0.6</w:t>
            </w:r>
            <w:r w:rsidRPr="00CE22CD">
              <w:rPr>
                <w:rFonts w:ascii="Times New Roman" w:eastAsia="標楷體" w:hAnsi="Times New Roman" w:cs="Times New Roman" w:hint="eastAsia"/>
                <w:sz w:val="24"/>
                <w:szCs w:val="24"/>
                <w:lang w:eastAsia="zh-TW"/>
              </w:rPr>
              <w:t>分</w:t>
            </w:r>
          </w:p>
        </w:tc>
        <w:tc>
          <w:tcPr>
            <w:tcW w:w="6519" w:type="dxa"/>
            <w:vMerge/>
            <w:shd w:val="clear" w:color="auto" w:fill="auto"/>
            <w:vAlign w:val="center"/>
          </w:tcPr>
          <w:p w14:paraId="344DA170" w14:textId="77777777" w:rsidR="0015520D" w:rsidRPr="00000B6F" w:rsidRDefault="0015520D" w:rsidP="008D2C85">
            <w:pPr>
              <w:pStyle w:val="TableParagraph"/>
              <w:spacing w:line="360" w:lineRule="exact"/>
              <w:ind w:leftChars="50" w:left="120" w:rightChars="50" w:right="120"/>
              <w:jc w:val="both"/>
              <w:rPr>
                <w:rFonts w:ascii="Times New Roman" w:eastAsia="標楷體" w:hAnsi="Times New Roman" w:cs="Times New Roman"/>
                <w:sz w:val="24"/>
                <w:szCs w:val="24"/>
                <w:lang w:eastAsia="zh-TW"/>
              </w:rPr>
            </w:pPr>
          </w:p>
        </w:tc>
      </w:tr>
      <w:tr w:rsidR="0015520D" w:rsidRPr="00000B6F" w14:paraId="420F4B4E" w14:textId="77777777" w:rsidTr="00E551DF">
        <w:trPr>
          <w:trHeight w:val="490"/>
        </w:trPr>
        <w:tc>
          <w:tcPr>
            <w:tcW w:w="1011" w:type="dxa"/>
            <w:vMerge/>
            <w:vAlign w:val="center"/>
          </w:tcPr>
          <w:p w14:paraId="26927EA1" w14:textId="77777777" w:rsidR="0015520D" w:rsidRPr="00000B6F" w:rsidRDefault="0015520D" w:rsidP="008D2C85">
            <w:pPr>
              <w:jc w:val="center"/>
              <w:rPr>
                <w:rFonts w:eastAsia="標楷體"/>
              </w:rPr>
            </w:pPr>
          </w:p>
        </w:tc>
        <w:tc>
          <w:tcPr>
            <w:tcW w:w="1012" w:type="dxa"/>
            <w:vMerge/>
            <w:shd w:val="clear" w:color="auto" w:fill="auto"/>
            <w:vAlign w:val="center"/>
          </w:tcPr>
          <w:p w14:paraId="5D109CA9" w14:textId="77777777" w:rsidR="0015520D" w:rsidRPr="00CE22CD" w:rsidRDefault="0015520D" w:rsidP="008D2C85">
            <w:pPr>
              <w:pStyle w:val="TableParagraph"/>
              <w:jc w:val="center"/>
              <w:rPr>
                <w:rFonts w:ascii="Times New Roman" w:eastAsia="標楷體" w:hAnsi="Times New Roman" w:cs="Times New Roman"/>
                <w:sz w:val="24"/>
                <w:szCs w:val="24"/>
              </w:rPr>
            </w:pPr>
          </w:p>
        </w:tc>
        <w:tc>
          <w:tcPr>
            <w:tcW w:w="3402" w:type="dxa"/>
            <w:gridSpan w:val="3"/>
            <w:shd w:val="clear" w:color="auto" w:fill="auto"/>
            <w:vAlign w:val="center"/>
          </w:tcPr>
          <w:p w14:paraId="6156E5BF" w14:textId="76260C5A" w:rsidR="0015520D" w:rsidRPr="00CE22CD" w:rsidRDefault="0015520D" w:rsidP="008D2C85">
            <w:pPr>
              <w:pStyle w:val="TableParagraph"/>
              <w:jc w:val="center"/>
              <w:rPr>
                <w:rFonts w:ascii="Times New Roman" w:eastAsia="標楷體" w:hAnsi="Times New Roman" w:cs="Times New Roman"/>
                <w:sz w:val="24"/>
                <w:szCs w:val="24"/>
              </w:rPr>
            </w:pPr>
            <w:r w:rsidRPr="00CE22CD">
              <w:rPr>
                <w:rFonts w:ascii="Times New Roman" w:eastAsia="標楷體" w:hAnsi="Times New Roman" w:cs="Times New Roman" w:hint="eastAsia"/>
                <w:sz w:val="24"/>
                <w:szCs w:val="24"/>
                <w:lang w:eastAsia="zh-TW"/>
              </w:rPr>
              <w:t>代理主管職務之年資</w:t>
            </w:r>
          </w:p>
        </w:tc>
        <w:tc>
          <w:tcPr>
            <w:tcW w:w="3402" w:type="dxa"/>
            <w:gridSpan w:val="2"/>
            <w:shd w:val="clear" w:color="auto" w:fill="auto"/>
            <w:vAlign w:val="center"/>
          </w:tcPr>
          <w:p w14:paraId="11197CBA" w14:textId="0FF20BB9" w:rsidR="0015520D" w:rsidRPr="00CE22CD" w:rsidRDefault="0015520D" w:rsidP="008D2C85">
            <w:pPr>
              <w:pStyle w:val="TableParagraph"/>
              <w:jc w:val="center"/>
              <w:rPr>
                <w:rFonts w:ascii="Times New Roman" w:eastAsia="標楷體" w:hAnsi="Times New Roman" w:cs="Times New Roman"/>
                <w:sz w:val="24"/>
                <w:szCs w:val="24"/>
              </w:rPr>
            </w:pPr>
            <w:r w:rsidRPr="00CE22CD">
              <w:rPr>
                <w:rFonts w:ascii="Times New Roman" w:eastAsia="標楷體" w:hAnsi="Times New Roman" w:cs="Times New Roman"/>
                <w:sz w:val="24"/>
                <w:szCs w:val="24"/>
              </w:rPr>
              <w:t>一年</w:t>
            </w:r>
            <w:r w:rsidRPr="00CE22CD">
              <w:rPr>
                <w:rFonts w:ascii="Times New Roman" w:eastAsia="標楷體" w:hAnsi="Times New Roman" w:cs="Times New Roman"/>
                <w:sz w:val="24"/>
                <w:szCs w:val="24"/>
              </w:rPr>
              <w:t>0.6</w:t>
            </w:r>
            <w:r w:rsidRPr="00CE22CD">
              <w:rPr>
                <w:rFonts w:ascii="Times New Roman" w:eastAsia="標楷體" w:hAnsi="Times New Roman" w:cs="Times New Roman"/>
                <w:sz w:val="24"/>
                <w:szCs w:val="24"/>
              </w:rPr>
              <w:t>分</w:t>
            </w:r>
          </w:p>
        </w:tc>
        <w:tc>
          <w:tcPr>
            <w:tcW w:w="6519" w:type="dxa"/>
            <w:vMerge/>
            <w:shd w:val="clear" w:color="auto" w:fill="auto"/>
            <w:vAlign w:val="center"/>
          </w:tcPr>
          <w:p w14:paraId="19D2ABA3" w14:textId="77777777" w:rsidR="0015520D" w:rsidRPr="00000B6F" w:rsidRDefault="0015520D" w:rsidP="008D2C85">
            <w:pPr>
              <w:pStyle w:val="TableParagraph"/>
              <w:spacing w:line="360" w:lineRule="exact"/>
              <w:ind w:leftChars="50" w:left="120" w:rightChars="50" w:right="120"/>
              <w:jc w:val="both"/>
              <w:rPr>
                <w:rFonts w:ascii="Times New Roman" w:eastAsia="標楷體" w:hAnsi="Times New Roman" w:cs="Times New Roman"/>
                <w:sz w:val="24"/>
                <w:szCs w:val="24"/>
                <w:lang w:eastAsia="zh-TW"/>
              </w:rPr>
            </w:pPr>
          </w:p>
        </w:tc>
      </w:tr>
      <w:tr w:rsidR="0015520D" w:rsidRPr="00000B6F" w14:paraId="6870C40B" w14:textId="77777777" w:rsidTr="00321426">
        <w:trPr>
          <w:trHeight w:val="3113"/>
        </w:trPr>
        <w:tc>
          <w:tcPr>
            <w:tcW w:w="1011" w:type="dxa"/>
            <w:vMerge/>
            <w:vAlign w:val="center"/>
          </w:tcPr>
          <w:p w14:paraId="1240F4A2" w14:textId="77777777" w:rsidR="0015520D" w:rsidRPr="00000B6F" w:rsidRDefault="0015520D" w:rsidP="008D2C85">
            <w:pPr>
              <w:jc w:val="center"/>
              <w:rPr>
                <w:rFonts w:eastAsia="標楷體"/>
                <w:lang w:eastAsia="zh-TW"/>
              </w:rPr>
            </w:pPr>
          </w:p>
        </w:tc>
        <w:tc>
          <w:tcPr>
            <w:tcW w:w="1012" w:type="dxa"/>
            <w:shd w:val="clear" w:color="auto" w:fill="auto"/>
            <w:vAlign w:val="center"/>
          </w:tcPr>
          <w:p w14:paraId="22382BC6" w14:textId="77777777" w:rsidR="0015520D" w:rsidRPr="00A66E7C" w:rsidRDefault="0015520D" w:rsidP="008D2C85">
            <w:pPr>
              <w:pStyle w:val="TableParagraph"/>
              <w:jc w:val="center"/>
              <w:rPr>
                <w:rFonts w:ascii="Times New Roman" w:eastAsia="標楷體" w:hAnsi="Times New Roman" w:cs="Times New Roman"/>
                <w:sz w:val="24"/>
                <w:szCs w:val="24"/>
              </w:rPr>
            </w:pPr>
            <w:r w:rsidRPr="00A66E7C">
              <w:rPr>
                <w:rFonts w:ascii="Times New Roman" w:eastAsia="標楷體" w:hAnsi="Times New Roman" w:cs="Times New Roman"/>
                <w:sz w:val="24"/>
                <w:szCs w:val="24"/>
              </w:rPr>
              <w:t>發展</w:t>
            </w:r>
          </w:p>
          <w:p w14:paraId="60F5A884" w14:textId="6F8A2847" w:rsidR="0015520D" w:rsidRPr="00A66E7C" w:rsidRDefault="0015520D" w:rsidP="008D2C85">
            <w:pPr>
              <w:pStyle w:val="TableParagraph"/>
              <w:jc w:val="center"/>
              <w:rPr>
                <w:rFonts w:ascii="Times New Roman" w:eastAsia="標楷體" w:hAnsi="Times New Roman" w:cs="Times New Roman"/>
                <w:sz w:val="24"/>
                <w:szCs w:val="24"/>
              </w:rPr>
            </w:pPr>
            <w:r w:rsidRPr="00A66E7C">
              <w:rPr>
                <w:rFonts w:ascii="Times New Roman" w:eastAsia="標楷體" w:hAnsi="Times New Roman" w:cs="Times New Roman"/>
                <w:sz w:val="24"/>
                <w:szCs w:val="24"/>
              </w:rPr>
              <w:t>潛能</w:t>
            </w:r>
          </w:p>
        </w:tc>
        <w:tc>
          <w:tcPr>
            <w:tcW w:w="6804" w:type="dxa"/>
            <w:gridSpan w:val="5"/>
            <w:shd w:val="clear" w:color="auto" w:fill="auto"/>
            <w:vAlign w:val="center"/>
          </w:tcPr>
          <w:p w14:paraId="4E718ED1" w14:textId="42FF1905" w:rsidR="0015520D" w:rsidRPr="00A66E7C" w:rsidRDefault="00356BD3" w:rsidP="008D2C85">
            <w:pPr>
              <w:pStyle w:val="TableParagraph"/>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10</w:t>
            </w:r>
            <w:r w:rsidR="0015520D" w:rsidRPr="000C75C5">
              <w:rPr>
                <w:rFonts w:ascii="Times New Roman" w:eastAsia="標楷體" w:hAnsi="Times New Roman" w:cs="Times New Roman" w:hint="eastAsia"/>
                <w:sz w:val="24"/>
                <w:szCs w:val="24"/>
                <w:lang w:eastAsia="zh-TW"/>
              </w:rPr>
              <w:t>分</w:t>
            </w:r>
          </w:p>
        </w:tc>
        <w:tc>
          <w:tcPr>
            <w:tcW w:w="6519" w:type="dxa"/>
            <w:shd w:val="clear" w:color="auto" w:fill="auto"/>
          </w:tcPr>
          <w:p w14:paraId="50E1F237" w14:textId="3238E00E" w:rsidR="0015520D" w:rsidRPr="00356BD3" w:rsidRDefault="0015520D" w:rsidP="00321426">
            <w:pPr>
              <w:numPr>
                <w:ilvl w:val="0"/>
                <w:numId w:val="17"/>
              </w:numPr>
              <w:suppressAutoHyphens/>
              <w:autoSpaceDN w:val="0"/>
              <w:spacing w:line="400" w:lineRule="exact"/>
              <w:jc w:val="both"/>
              <w:textAlignment w:val="baseline"/>
              <w:rPr>
                <w:rFonts w:ascii="標楷體" w:eastAsia="標楷體" w:hAnsi="標楷體"/>
                <w:bCs/>
                <w:sz w:val="24"/>
                <w:lang w:eastAsia="zh-TW"/>
              </w:rPr>
            </w:pPr>
            <w:r w:rsidRPr="000C75C5">
              <w:rPr>
                <w:rFonts w:ascii="標楷體" w:eastAsia="標楷體" w:hAnsi="標楷體"/>
                <w:bCs/>
                <w:sz w:val="24"/>
                <w:lang w:eastAsia="zh-TW"/>
              </w:rPr>
              <w:t>本</w:t>
            </w:r>
            <w:r w:rsidRPr="00356BD3">
              <w:rPr>
                <w:rFonts w:ascii="標楷體" w:eastAsia="標楷體" w:hAnsi="標楷體"/>
                <w:bCs/>
                <w:sz w:val="24"/>
                <w:lang w:eastAsia="zh-TW"/>
              </w:rPr>
              <w:t>項配分，最高以</w:t>
            </w:r>
            <w:r w:rsidR="00356BD3" w:rsidRPr="00356BD3">
              <w:rPr>
                <w:rFonts w:ascii="標楷體" w:eastAsia="標楷體" w:hAnsi="標楷體" w:hint="eastAsia"/>
                <w:bCs/>
                <w:sz w:val="24"/>
                <w:lang w:eastAsia="zh-TW"/>
              </w:rPr>
              <w:t>10</w:t>
            </w:r>
            <w:r w:rsidRPr="00356BD3">
              <w:rPr>
                <w:rFonts w:ascii="標楷體" w:eastAsia="標楷體" w:hAnsi="標楷體"/>
                <w:bCs/>
                <w:sz w:val="24"/>
                <w:lang w:eastAsia="zh-TW"/>
              </w:rPr>
              <w:t>分為限。</w:t>
            </w:r>
          </w:p>
          <w:p w14:paraId="071615D4" w14:textId="77777777" w:rsidR="0015520D" w:rsidRPr="00321426" w:rsidRDefault="0015520D" w:rsidP="00321426">
            <w:pPr>
              <w:numPr>
                <w:ilvl w:val="0"/>
                <w:numId w:val="17"/>
              </w:numPr>
              <w:suppressAutoHyphens/>
              <w:autoSpaceDN w:val="0"/>
              <w:spacing w:line="400" w:lineRule="exact"/>
              <w:jc w:val="both"/>
              <w:textAlignment w:val="baseline"/>
              <w:rPr>
                <w:rFonts w:ascii="標楷體" w:eastAsia="標楷體" w:hAnsi="標楷體"/>
                <w:bCs/>
                <w:sz w:val="24"/>
                <w:lang w:eastAsia="zh-TW"/>
              </w:rPr>
            </w:pPr>
            <w:r w:rsidRPr="00321426">
              <w:rPr>
                <w:rFonts w:ascii="標楷體" w:eastAsia="標楷體" w:hAnsi="標楷體"/>
                <w:bCs/>
                <w:sz w:val="24"/>
                <w:lang w:eastAsia="zh-TW"/>
              </w:rPr>
              <w:t>發展潛能由受考人現職服務單位主管及出缺單位主管分別考評受考人邏輯分析能力及團隊合作精神等與未來職務發展適任性相關之綜合潛能後平均計分，並由甄審委員會複評。</w:t>
            </w:r>
          </w:p>
          <w:p w14:paraId="7550246E" w14:textId="47B6DF31" w:rsidR="0015520D" w:rsidRPr="00321426" w:rsidRDefault="0015520D" w:rsidP="00321426">
            <w:pPr>
              <w:numPr>
                <w:ilvl w:val="0"/>
                <w:numId w:val="17"/>
              </w:numPr>
              <w:suppressAutoHyphens/>
              <w:autoSpaceDN w:val="0"/>
              <w:spacing w:line="400" w:lineRule="exact"/>
              <w:jc w:val="both"/>
              <w:textAlignment w:val="baseline"/>
              <w:rPr>
                <w:rFonts w:ascii="標楷體" w:eastAsia="標楷體" w:hAnsi="標楷體"/>
                <w:bCs/>
                <w:sz w:val="24"/>
                <w:lang w:eastAsia="zh-TW"/>
              </w:rPr>
            </w:pPr>
            <w:r w:rsidRPr="00321426">
              <w:rPr>
                <w:rFonts w:ascii="標楷體" w:eastAsia="標楷體" w:hAnsi="標楷體"/>
                <w:bCs/>
                <w:sz w:val="24"/>
                <w:lang w:eastAsia="zh-TW"/>
              </w:rPr>
              <w:t>評分超過</w:t>
            </w:r>
            <w:r w:rsidR="00F232DA">
              <w:rPr>
                <w:rFonts w:ascii="標楷體" w:eastAsia="標楷體" w:hAnsi="標楷體" w:hint="eastAsia"/>
                <w:bCs/>
                <w:sz w:val="24"/>
                <w:lang w:eastAsia="zh-TW"/>
              </w:rPr>
              <w:t>5</w:t>
            </w:r>
            <w:r w:rsidRPr="00321426">
              <w:rPr>
                <w:rFonts w:ascii="標楷體" w:eastAsia="標楷體" w:hAnsi="標楷體"/>
                <w:bCs/>
                <w:sz w:val="24"/>
                <w:lang w:eastAsia="zh-TW"/>
              </w:rPr>
              <w:t>分者，應敘明具體事蹟。</w:t>
            </w:r>
          </w:p>
          <w:p w14:paraId="7580C775" w14:textId="1E927591" w:rsidR="0015520D" w:rsidRPr="00741B9A" w:rsidRDefault="0015520D" w:rsidP="00321426">
            <w:pPr>
              <w:pStyle w:val="TableParagraph"/>
              <w:numPr>
                <w:ilvl w:val="0"/>
                <w:numId w:val="17"/>
              </w:numPr>
              <w:spacing w:line="320" w:lineRule="exact"/>
              <w:ind w:rightChars="50" w:right="120"/>
              <w:jc w:val="both"/>
              <w:rPr>
                <w:rFonts w:ascii="Times New Roman" w:eastAsia="標楷體" w:hAnsi="Times New Roman" w:cs="Times New Roman"/>
                <w:sz w:val="24"/>
                <w:szCs w:val="24"/>
                <w:lang w:eastAsia="zh-TW"/>
              </w:rPr>
            </w:pPr>
            <w:r w:rsidRPr="00321426">
              <w:rPr>
                <w:rFonts w:ascii="標楷體" w:eastAsia="標楷體" w:hAnsi="標楷體"/>
                <w:bCs/>
                <w:sz w:val="24"/>
                <w:szCs w:val="24"/>
                <w:lang w:eastAsia="zh-TW"/>
              </w:rPr>
              <w:t>陞任主管職務者，並應著重受考人能激勵個人或團隊勇於當責及創新之潛質。</w:t>
            </w:r>
          </w:p>
        </w:tc>
      </w:tr>
      <w:tr w:rsidR="0015520D" w:rsidRPr="00000B6F" w14:paraId="78B7C939" w14:textId="77777777" w:rsidTr="00EC0A0A">
        <w:trPr>
          <w:trHeight w:val="3113"/>
        </w:trPr>
        <w:tc>
          <w:tcPr>
            <w:tcW w:w="1011" w:type="dxa"/>
            <w:vMerge/>
            <w:vAlign w:val="center"/>
          </w:tcPr>
          <w:p w14:paraId="0A6AE578" w14:textId="77777777" w:rsidR="0015520D" w:rsidRPr="00000B6F" w:rsidRDefault="0015520D" w:rsidP="008D2C85">
            <w:pPr>
              <w:jc w:val="center"/>
              <w:rPr>
                <w:rFonts w:eastAsia="標楷體"/>
                <w:lang w:eastAsia="zh-TW"/>
              </w:rPr>
            </w:pPr>
          </w:p>
        </w:tc>
        <w:tc>
          <w:tcPr>
            <w:tcW w:w="4414" w:type="dxa"/>
            <w:gridSpan w:val="4"/>
            <w:shd w:val="clear" w:color="auto" w:fill="auto"/>
            <w:vAlign w:val="center"/>
          </w:tcPr>
          <w:p w14:paraId="55413214" w14:textId="619B161F" w:rsidR="0015520D" w:rsidRPr="00321426" w:rsidRDefault="0015520D" w:rsidP="008D2C85">
            <w:pPr>
              <w:pStyle w:val="TableParagraph"/>
              <w:jc w:val="center"/>
              <w:rPr>
                <w:rFonts w:ascii="Times New Roman" w:eastAsia="標楷體" w:hAnsi="Times New Roman" w:cs="Times New Roman"/>
                <w:sz w:val="24"/>
                <w:szCs w:val="24"/>
                <w:highlight w:val="yellow"/>
                <w:lang w:eastAsia="zh-TW"/>
              </w:rPr>
            </w:pPr>
            <w:r>
              <w:rPr>
                <w:rFonts w:ascii="Times New Roman" w:eastAsia="標楷體" w:hAnsi="Times New Roman" w:cs="Times New Roman" w:hint="eastAsia"/>
                <w:sz w:val="24"/>
                <w:szCs w:val="24"/>
                <w:lang w:eastAsia="zh-TW"/>
              </w:rPr>
              <w:t>職務訓練及進修</w:t>
            </w:r>
          </w:p>
        </w:tc>
        <w:tc>
          <w:tcPr>
            <w:tcW w:w="3402" w:type="dxa"/>
            <w:gridSpan w:val="2"/>
            <w:shd w:val="clear" w:color="auto" w:fill="auto"/>
            <w:vAlign w:val="center"/>
          </w:tcPr>
          <w:p w14:paraId="78CBD196" w14:textId="046BEA3B" w:rsidR="0015520D" w:rsidRPr="00321426" w:rsidRDefault="00356BD3" w:rsidP="008D2C85">
            <w:pPr>
              <w:pStyle w:val="TableParagraph"/>
              <w:jc w:val="center"/>
              <w:rPr>
                <w:rFonts w:ascii="Times New Roman" w:eastAsia="標楷體" w:hAnsi="Times New Roman" w:cs="Times New Roman"/>
                <w:sz w:val="24"/>
                <w:szCs w:val="24"/>
                <w:highlight w:val="yellow"/>
                <w:lang w:eastAsia="zh-TW"/>
              </w:rPr>
            </w:pPr>
            <w:r>
              <w:rPr>
                <w:rFonts w:ascii="Times New Roman" w:eastAsia="標楷體" w:hAnsi="Times New Roman" w:cs="Times New Roman" w:hint="eastAsia"/>
                <w:sz w:val="24"/>
                <w:szCs w:val="24"/>
                <w:lang w:eastAsia="zh-TW"/>
              </w:rPr>
              <w:t>8</w:t>
            </w:r>
            <w:r w:rsidR="00E61988" w:rsidRPr="000C75C5">
              <w:rPr>
                <w:rFonts w:ascii="Times New Roman" w:eastAsia="標楷體" w:hAnsi="Times New Roman" w:cs="Times New Roman" w:hint="eastAsia"/>
                <w:sz w:val="24"/>
                <w:szCs w:val="24"/>
                <w:lang w:eastAsia="zh-TW"/>
              </w:rPr>
              <w:t>分</w:t>
            </w:r>
          </w:p>
        </w:tc>
        <w:tc>
          <w:tcPr>
            <w:tcW w:w="6519" w:type="dxa"/>
            <w:shd w:val="clear" w:color="auto" w:fill="auto"/>
          </w:tcPr>
          <w:p w14:paraId="2C660755" w14:textId="22BF83FF" w:rsidR="0015520D" w:rsidRPr="00356BD3" w:rsidRDefault="0015520D" w:rsidP="00B76881">
            <w:pPr>
              <w:pStyle w:val="TableParagraph"/>
              <w:numPr>
                <w:ilvl w:val="0"/>
                <w:numId w:val="16"/>
              </w:numPr>
              <w:spacing w:line="400" w:lineRule="exact"/>
              <w:ind w:left="601" w:rightChars="50" w:right="120" w:hanging="482"/>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本</w:t>
            </w:r>
            <w:r w:rsidRPr="00356BD3">
              <w:rPr>
                <w:rFonts w:ascii="Times New Roman" w:eastAsia="標楷體" w:hAnsi="Times New Roman" w:cs="Times New Roman"/>
                <w:sz w:val="24"/>
                <w:szCs w:val="24"/>
                <w:lang w:eastAsia="zh-TW"/>
              </w:rPr>
              <w:t>項配分，最高以</w:t>
            </w:r>
            <w:r w:rsidR="00356BD3" w:rsidRPr="00356BD3">
              <w:rPr>
                <w:rFonts w:ascii="Times New Roman" w:eastAsia="標楷體" w:hAnsi="Times New Roman" w:cs="Times New Roman" w:hint="eastAsia"/>
                <w:sz w:val="24"/>
                <w:szCs w:val="24"/>
                <w:lang w:eastAsia="zh-TW"/>
              </w:rPr>
              <w:t>8</w:t>
            </w:r>
            <w:r w:rsidRPr="00356BD3">
              <w:rPr>
                <w:rFonts w:ascii="Times New Roman" w:eastAsia="標楷體" w:hAnsi="Times New Roman" w:cs="Times New Roman"/>
                <w:sz w:val="24"/>
                <w:szCs w:val="24"/>
                <w:lang w:eastAsia="zh-TW"/>
              </w:rPr>
              <w:t>分為限。</w:t>
            </w:r>
          </w:p>
          <w:p w14:paraId="61341282" w14:textId="768C5ED5" w:rsidR="0015520D" w:rsidRDefault="0015520D" w:rsidP="00B76881">
            <w:pPr>
              <w:pStyle w:val="TableParagraph"/>
              <w:numPr>
                <w:ilvl w:val="0"/>
                <w:numId w:val="16"/>
              </w:numPr>
              <w:spacing w:line="400" w:lineRule="exact"/>
              <w:ind w:left="601" w:rightChars="50" w:right="120" w:hanging="482"/>
              <w:jc w:val="both"/>
              <w:rPr>
                <w:rFonts w:ascii="Times New Roman" w:eastAsia="標楷體" w:hAnsi="Times New Roman" w:cs="Times New Roman"/>
                <w:sz w:val="24"/>
                <w:szCs w:val="24"/>
                <w:lang w:eastAsia="zh-TW"/>
              </w:rPr>
            </w:pPr>
            <w:r w:rsidRPr="00552B50">
              <w:rPr>
                <w:rFonts w:ascii="Times New Roman" w:eastAsia="標楷體" w:hAnsi="Times New Roman" w:cs="Times New Roman" w:hint="eastAsia"/>
                <w:sz w:val="24"/>
                <w:szCs w:val="24"/>
                <w:lang w:eastAsia="zh-TW"/>
              </w:rPr>
              <w:t>任同一職務列等最近</w:t>
            </w:r>
            <w:r w:rsidRPr="00552B50">
              <w:rPr>
                <w:rFonts w:ascii="Times New Roman" w:eastAsia="標楷體" w:hAnsi="Times New Roman" w:cs="Times New Roman" w:hint="eastAsia"/>
                <w:sz w:val="24"/>
                <w:szCs w:val="24"/>
                <w:lang w:eastAsia="zh-TW"/>
              </w:rPr>
              <w:t>5</w:t>
            </w:r>
            <w:r w:rsidRPr="00552B50">
              <w:rPr>
                <w:rFonts w:ascii="Times New Roman" w:eastAsia="標楷體" w:hAnsi="Times New Roman" w:cs="Times New Roman" w:hint="eastAsia"/>
                <w:sz w:val="24"/>
                <w:szCs w:val="24"/>
                <w:lang w:eastAsia="zh-TW"/>
              </w:rPr>
              <w:t>年內曾參加與擬任職務有關之訓練進修，核予適當分數</w:t>
            </w:r>
            <w:r w:rsidRPr="00000B6F">
              <w:rPr>
                <w:rFonts w:ascii="Times New Roman" w:eastAsia="標楷體" w:hAnsi="Times New Roman" w:cs="Times New Roman"/>
                <w:sz w:val="24"/>
                <w:szCs w:val="24"/>
                <w:lang w:eastAsia="zh-TW"/>
              </w:rPr>
              <w:t>。</w:t>
            </w:r>
          </w:p>
          <w:p w14:paraId="3E345543" w14:textId="0D6CF966" w:rsidR="0015520D" w:rsidRPr="00B76881" w:rsidRDefault="0015520D" w:rsidP="00B76881">
            <w:pPr>
              <w:pStyle w:val="TableParagraph"/>
              <w:numPr>
                <w:ilvl w:val="0"/>
                <w:numId w:val="16"/>
              </w:numPr>
              <w:spacing w:line="400" w:lineRule="exact"/>
              <w:ind w:left="601" w:rightChars="50" w:right="120" w:hanging="482"/>
              <w:jc w:val="both"/>
              <w:rPr>
                <w:rFonts w:ascii="Times New Roman" w:eastAsia="標楷體" w:hAnsi="Times New Roman" w:cs="Times New Roman"/>
                <w:sz w:val="24"/>
                <w:szCs w:val="24"/>
                <w:lang w:eastAsia="zh-TW"/>
              </w:rPr>
            </w:pPr>
            <w:r w:rsidRPr="00B76881">
              <w:rPr>
                <w:rFonts w:ascii="Times New Roman" w:eastAsia="標楷體" w:hAnsi="Times New Roman" w:cs="Times New Roman" w:hint="eastAsia"/>
                <w:sz w:val="24"/>
                <w:szCs w:val="24"/>
                <w:lang w:eastAsia="zh-TW"/>
              </w:rPr>
              <w:t>訓練或出國考察、進修、研習以本局保送或派遣且在現職或同職務列等職務期間者始予計分，若與擬任職務業務無關或有不良紀錄者，不予計分；另參加同性質且層級相當之訓練、研習時數，不予重複採計。</w:t>
            </w:r>
          </w:p>
        </w:tc>
      </w:tr>
      <w:tr w:rsidR="0015520D" w:rsidRPr="00000B6F" w14:paraId="7E7866D8" w14:textId="77777777" w:rsidTr="0015520D">
        <w:trPr>
          <w:trHeight w:val="3113"/>
        </w:trPr>
        <w:tc>
          <w:tcPr>
            <w:tcW w:w="1011" w:type="dxa"/>
            <w:vMerge/>
            <w:vAlign w:val="center"/>
          </w:tcPr>
          <w:p w14:paraId="14F19DC6" w14:textId="77777777" w:rsidR="0015520D" w:rsidRPr="00000B6F" w:rsidRDefault="0015520D" w:rsidP="008D2C85">
            <w:pPr>
              <w:jc w:val="center"/>
              <w:rPr>
                <w:rFonts w:eastAsia="標楷體"/>
                <w:lang w:eastAsia="zh-TW"/>
              </w:rPr>
            </w:pPr>
          </w:p>
        </w:tc>
        <w:tc>
          <w:tcPr>
            <w:tcW w:w="4414" w:type="dxa"/>
            <w:gridSpan w:val="4"/>
            <w:shd w:val="clear" w:color="auto" w:fill="auto"/>
            <w:vAlign w:val="center"/>
          </w:tcPr>
          <w:p w14:paraId="143E68DC" w14:textId="5BB24BE5" w:rsidR="0015520D" w:rsidRDefault="0015520D" w:rsidP="008D2C85">
            <w:pPr>
              <w:pStyle w:val="TableParagraph"/>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領導及管理能力</w:t>
            </w:r>
          </w:p>
        </w:tc>
        <w:tc>
          <w:tcPr>
            <w:tcW w:w="1701" w:type="dxa"/>
            <w:tcBorders>
              <w:tl2br w:val="single" w:sz="4" w:space="0" w:color="auto"/>
            </w:tcBorders>
            <w:shd w:val="clear" w:color="auto" w:fill="auto"/>
            <w:vAlign w:val="center"/>
          </w:tcPr>
          <w:p w14:paraId="68E8E642" w14:textId="77777777" w:rsidR="0015520D" w:rsidRPr="00321426" w:rsidRDefault="0015520D" w:rsidP="008D2C85">
            <w:pPr>
              <w:pStyle w:val="TableParagraph"/>
              <w:jc w:val="center"/>
              <w:rPr>
                <w:rFonts w:ascii="Times New Roman" w:eastAsia="標楷體" w:hAnsi="Times New Roman" w:cs="Times New Roman"/>
                <w:sz w:val="24"/>
                <w:szCs w:val="24"/>
                <w:highlight w:val="yellow"/>
                <w:lang w:eastAsia="zh-TW"/>
              </w:rPr>
            </w:pPr>
          </w:p>
        </w:tc>
        <w:tc>
          <w:tcPr>
            <w:tcW w:w="1701" w:type="dxa"/>
            <w:shd w:val="clear" w:color="auto" w:fill="auto"/>
            <w:vAlign w:val="center"/>
          </w:tcPr>
          <w:p w14:paraId="39496EAE" w14:textId="7C02D496" w:rsidR="0015520D" w:rsidRPr="000C75C5" w:rsidRDefault="0098062C" w:rsidP="008D2C85">
            <w:pPr>
              <w:pStyle w:val="TableParagraph"/>
              <w:jc w:val="center"/>
              <w:rPr>
                <w:rFonts w:ascii="Times New Roman" w:eastAsia="標楷體" w:hAnsi="Times New Roman" w:cs="Times New Roman"/>
                <w:sz w:val="24"/>
                <w:szCs w:val="24"/>
                <w:lang w:eastAsia="zh-TW"/>
              </w:rPr>
            </w:pPr>
            <w:r w:rsidRPr="000C75C5">
              <w:rPr>
                <w:rFonts w:ascii="Times New Roman" w:eastAsia="標楷體" w:hAnsi="Times New Roman" w:cs="Times New Roman" w:hint="eastAsia"/>
                <w:sz w:val="24"/>
                <w:szCs w:val="24"/>
                <w:lang w:eastAsia="zh-TW"/>
              </w:rPr>
              <w:t>10</w:t>
            </w:r>
            <w:r w:rsidR="00E61988" w:rsidRPr="000C75C5">
              <w:rPr>
                <w:rFonts w:ascii="Times New Roman" w:eastAsia="標楷體" w:hAnsi="Times New Roman" w:cs="Times New Roman" w:hint="eastAsia"/>
                <w:sz w:val="24"/>
                <w:szCs w:val="24"/>
                <w:lang w:eastAsia="zh-TW"/>
              </w:rPr>
              <w:t>分</w:t>
            </w:r>
          </w:p>
        </w:tc>
        <w:tc>
          <w:tcPr>
            <w:tcW w:w="6519" w:type="dxa"/>
            <w:shd w:val="clear" w:color="auto" w:fill="auto"/>
          </w:tcPr>
          <w:p w14:paraId="59E5D141" w14:textId="77777777" w:rsidR="0015520D" w:rsidRPr="000C75C5" w:rsidRDefault="0015520D" w:rsidP="0015520D">
            <w:pPr>
              <w:pStyle w:val="TableParagraph"/>
              <w:numPr>
                <w:ilvl w:val="0"/>
                <w:numId w:val="23"/>
              </w:numPr>
              <w:spacing w:line="320" w:lineRule="exact"/>
              <w:ind w:rightChars="50" w:right="120"/>
              <w:jc w:val="both"/>
              <w:rPr>
                <w:rFonts w:ascii="Times New Roman" w:eastAsia="標楷體" w:hAnsi="Times New Roman" w:cs="Times New Roman"/>
                <w:sz w:val="24"/>
                <w:szCs w:val="24"/>
                <w:lang w:eastAsia="zh-TW"/>
              </w:rPr>
            </w:pPr>
            <w:r w:rsidRPr="000C75C5">
              <w:rPr>
                <w:rFonts w:ascii="Times New Roman" w:eastAsia="標楷體" w:hAnsi="Times New Roman" w:cs="Times New Roman"/>
                <w:sz w:val="24"/>
                <w:szCs w:val="24"/>
                <w:lang w:eastAsia="zh-TW"/>
              </w:rPr>
              <w:t>本項配分，最高以</w:t>
            </w:r>
            <w:r w:rsidRPr="000C75C5">
              <w:rPr>
                <w:rFonts w:ascii="Times New Roman" w:eastAsia="標楷體" w:hAnsi="Times New Roman" w:cs="Times New Roman" w:hint="eastAsia"/>
                <w:sz w:val="24"/>
                <w:szCs w:val="24"/>
                <w:lang w:eastAsia="zh-TW"/>
              </w:rPr>
              <w:t>10</w:t>
            </w:r>
            <w:r w:rsidRPr="000C75C5">
              <w:rPr>
                <w:rFonts w:ascii="Times New Roman" w:eastAsia="標楷體" w:hAnsi="Times New Roman" w:cs="Times New Roman"/>
                <w:sz w:val="24"/>
                <w:szCs w:val="24"/>
                <w:lang w:eastAsia="zh-TW"/>
              </w:rPr>
              <w:t>分為限</w:t>
            </w:r>
            <w:r w:rsidRPr="000C75C5">
              <w:rPr>
                <w:rFonts w:ascii="Times New Roman" w:eastAsia="標楷體" w:hAnsi="Times New Roman" w:cs="Times New Roman" w:hint="eastAsia"/>
                <w:sz w:val="24"/>
                <w:szCs w:val="24"/>
                <w:lang w:eastAsia="zh-TW"/>
              </w:rPr>
              <w:t>。</w:t>
            </w:r>
          </w:p>
          <w:p w14:paraId="60999FCD" w14:textId="56182A0B" w:rsidR="0015520D" w:rsidRDefault="0015520D" w:rsidP="0015520D">
            <w:pPr>
              <w:pStyle w:val="TableParagraph"/>
              <w:numPr>
                <w:ilvl w:val="0"/>
                <w:numId w:val="23"/>
              </w:numPr>
              <w:spacing w:line="320" w:lineRule="exact"/>
              <w:ind w:rightChars="50" w:right="12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由受考人現職</w:t>
            </w:r>
            <w:r w:rsidRPr="001C19AD">
              <w:rPr>
                <w:rFonts w:ascii="Times New Roman" w:eastAsia="標楷體" w:hAnsi="Times New Roman" w:cs="Times New Roman" w:hint="eastAsia"/>
                <w:sz w:val="24"/>
                <w:szCs w:val="24"/>
                <w:lang w:eastAsia="zh-TW"/>
              </w:rPr>
              <w:t>單位主管</w:t>
            </w:r>
            <w:r>
              <w:rPr>
                <w:rFonts w:ascii="Times New Roman" w:eastAsia="標楷體" w:hAnsi="Times New Roman" w:cs="Times New Roman" w:hint="eastAsia"/>
                <w:sz w:val="24"/>
                <w:szCs w:val="24"/>
                <w:lang w:eastAsia="zh-TW"/>
              </w:rPr>
              <w:t>就領導與團隊管理、業務風險管理、溝通及論述、情緒管理等與獲致工作績效相關的各項管理能力考量評分，並由甄審委員會複評</w:t>
            </w:r>
            <w:r w:rsidRPr="003C10F3">
              <w:rPr>
                <w:rFonts w:ascii="Times New Roman" w:eastAsia="標楷體" w:hAnsi="Times New Roman" w:cs="Times New Roman"/>
                <w:sz w:val="24"/>
                <w:szCs w:val="24"/>
                <w:lang w:eastAsia="zh-TW"/>
              </w:rPr>
              <w:t>。</w:t>
            </w:r>
          </w:p>
          <w:p w14:paraId="5127C9E0" w14:textId="2B94ADDD" w:rsidR="0015520D" w:rsidRPr="0015520D" w:rsidRDefault="0015520D" w:rsidP="0015520D">
            <w:pPr>
              <w:pStyle w:val="TableParagraph"/>
              <w:numPr>
                <w:ilvl w:val="0"/>
                <w:numId w:val="23"/>
              </w:numPr>
              <w:spacing w:line="320" w:lineRule="exact"/>
              <w:ind w:rightChars="50" w:right="120"/>
              <w:jc w:val="both"/>
              <w:rPr>
                <w:rFonts w:ascii="Times New Roman" w:eastAsia="標楷體" w:hAnsi="Times New Roman" w:cs="Times New Roman"/>
                <w:sz w:val="24"/>
                <w:szCs w:val="24"/>
                <w:lang w:eastAsia="zh-TW"/>
              </w:rPr>
            </w:pPr>
            <w:r w:rsidRPr="000C75C5">
              <w:rPr>
                <w:rFonts w:ascii="Times New Roman" w:eastAsia="標楷體" w:hAnsi="Times New Roman" w:cs="Times New Roman" w:hint="eastAsia"/>
                <w:sz w:val="24"/>
                <w:szCs w:val="24"/>
                <w:lang w:eastAsia="zh-TW"/>
              </w:rPr>
              <w:t>評分超過</w:t>
            </w:r>
            <w:r w:rsidRPr="000C75C5">
              <w:rPr>
                <w:rFonts w:ascii="Times New Roman" w:eastAsia="標楷體" w:hAnsi="Times New Roman" w:cs="Times New Roman" w:hint="eastAsia"/>
                <w:sz w:val="24"/>
                <w:szCs w:val="24"/>
                <w:lang w:eastAsia="zh-TW"/>
              </w:rPr>
              <w:t>9</w:t>
            </w:r>
            <w:r w:rsidRPr="000C75C5">
              <w:rPr>
                <w:rFonts w:ascii="Times New Roman" w:eastAsia="標楷體" w:hAnsi="Times New Roman" w:cs="Times New Roman" w:hint="eastAsia"/>
                <w:sz w:val="24"/>
                <w:szCs w:val="24"/>
                <w:lang w:eastAsia="zh-TW"/>
              </w:rPr>
              <w:t>分者，應敘明具體事蹟。</w:t>
            </w:r>
          </w:p>
        </w:tc>
      </w:tr>
    </w:tbl>
    <w:p w14:paraId="05118146" w14:textId="3B05454A" w:rsidR="00741B9A" w:rsidRDefault="00741B9A"/>
    <w:p w14:paraId="54400278" w14:textId="36ABA696" w:rsidR="00FB2130" w:rsidRDefault="00FB2130"/>
    <w:p w14:paraId="72229F08" w14:textId="353BEE3E" w:rsidR="00FB2130" w:rsidRDefault="00FB2130"/>
    <w:p w14:paraId="572F8F92" w14:textId="56A3C614" w:rsidR="00FB2130" w:rsidRDefault="00FB2130"/>
    <w:tbl>
      <w:tblPr>
        <w:tblStyle w:val="TableNormal"/>
        <w:tblW w:w="153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012"/>
        <w:gridCol w:w="3402"/>
        <w:gridCol w:w="1701"/>
        <w:gridCol w:w="1701"/>
        <w:gridCol w:w="6519"/>
      </w:tblGrid>
      <w:tr w:rsidR="00FB2130" w:rsidRPr="00000B6F" w14:paraId="17DFC845" w14:textId="77777777" w:rsidTr="00FB2130">
        <w:trPr>
          <w:trHeight w:val="321"/>
        </w:trPr>
        <w:tc>
          <w:tcPr>
            <w:tcW w:w="1011" w:type="dxa"/>
            <w:vMerge w:val="restart"/>
            <w:vAlign w:val="center"/>
          </w:tcPr>
          <w:p w14:paraId="766DCA37" w14:textId="77777777" w:rsidR="00FB2130" w:rsidRPr="00000B6F" w:rsidRDefault="00FB2130" w:rsidP="00B03727">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lastRenderedPageBreak/>
              <w:t>評比類別</w:t>
            </w:r>
          </w:p>
        </w:tc>
        <w:tc>
          <w:tcPr>
            <w:tcW w:w="1012" w:type="dxa"/>
            <w:vMerge w:val="restart"/>
            <w:vAlign w:val="center"/>
          </w:tcPr>
          <w:p w14:paraId="6CF39A7C" w14:textId="77777777" w:rsidR="00FB2130" w:rsidRPr="00000B6F" w:rsidRDefault="00FB2130" w:rsidP="00B03727">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評比項目</w:t>
            </w:r>
          </w:p>
        </w:tc>
        <w:tc>
          <w:tcPr>
            <w:tcW w:w="3402" w:type="dxa"/>
            <w:vMerge w:val="restart"/>
            <w:vAlign w:val="center"/>
          </w:tcPr>
          <w:p w14:paraId="587A86A6" w14:textId="77777777" w:rsidR="00FB2130" w:rsidRPr="00000B6F" w:rsidRDefault="00FB2130" w:rsidP="00B03727">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評分標準</w:t>
            </w:r>
          </w:p>
        </w:tc>
        <w:tc>
          <w:tcPr>
            <w:tcW w:w="3402" w:type="dxa"/>
            <w:gridSpan w:val="2"/>
            <w:vAlign w:val="center"/>
          </w:tcPr>
          <w:p w14:paraId="6F8C7507" w14:textId="77777777" w:rsidR="00FB2130" w:rsidRPr="00000B6F" w:rsidRDefault="00FB2130" w:rsidP="00B03727">
            <w:pPr>
              <w:pStyle w:val="TableParagraph"/>
              <w:spacing w:before="28"/>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配分</w:t>
            </w:r>
          </w:p>
        </w:tc>
        <w:tc>
          <w:tcPr>
            <w:tcW w:w="6519" w:type="dxa"/>
            <w:vMerge w:val="restart"/>
            <w:vAlign w:val="center"/>
          </w:tcPr>
          <w:p w14:paraId="7A728EDE" w14:textId="77777777" w:rsidR="00FB2130" w:rsidRPr="00000B6F" w:rsidRDefault="00FB2130" w:rsidP="00B03727">
            <w:pPr>
              <w:pStyle w:val="TableParagraph"/>
              <w:ind w:right="5"/>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說明</w:t>
            </w:r>
          </w:p>
        </w:tc>
      </w:tr>
      <w:tr w:rsidR="00FB2130" w:rsidRPr="00000B6F" w14:paraId="362B8340" w14:textId="77777777" w:rsidTr="003A3E72">
        <w:trPr>
          <w:trHeight w:val="320"/>
        </w:trPr>
        <w:tc>
          <w:tcPr>
            <w:tcW w:w="1011" w:type="dxa"/>
            <w:vMerge/>
            <w:vAlign w:val="center"/>
          </w:tcPr>
          <w:p w14:paraId="30C1D4DD" w14:textId="77777777" w:rsidR="00FB2130" w:rsidRPr="00000B6F" w:rsidRDefault="00FB2130" w:rsidP="00B03727">
            <w:pPr>
              <w:pStyle w:val="TableParagraph"/>
              <w:jc w:val="center"/>
              <w:rPr>
                <w:rFonts w:ascii="Times New Roman" w:eastAsia="標楷體" w:hAnsi="Times New Roman" w:cs="Times New Roman"/>
                <w:sz w:val="24"/>
                <w:szCs w:val="24"/>
              </w:rPr>
            </w:pPr>
          </w:p>
        </w:tc>
        <w:tc>
          <w:tcPr>
            <w:tcW w:w="1012" w:type="dxa"/>
            <w:vMerge/>
            <w:vAlign w:val="center"/>
          </w:tcPr>
          <w:p w14:paraId="170FE461" w14:textId="77777777" w:rsidR="00FB2130" w:rsidRPr="00000B6F" w:rsidRDefault="00FB2130" w:rsidP="00B03727">
            <w:pPr>
              <w:pStyle w:val="TableParagraph"/>
              <w:jc w:val="center"/>
              <w:rPr>
                <w:rFonts w:ascii="Times New Roman" w:eastAsia="標楷體" w:hAnsi="Times New Roman" w:cs="Times New Roman"/>
                <w:sz w:val="24"/>
                <w:szCs w:val="24"/>
              </w:rPr>
            </w:pPr>
          </w:p>
        </w:tc>
        <w:tc>
          <w:tcPr>
            <w:tcW w:w="3402" w:type="dxa"/>
            <w:vMerge/>
            <w:vAlign w:val="center"/>
          </w:tcPr>
          <w:p w14:paraId="57B9094C" w14:textId="77777777" w:rsidR="00FB2130" w:rsidRPr="00000B6F" w:rsidRDefault="00FB2130" w:rsidP="00B03727">
            <w:pPr>
              <w:pStyle w:val="TableParagraph"/>
              <w:jc w:val="center"/>
              <w:rPr>
                <w:rFonts w:ascii="Times New Roman" w:eastAsia="標楷體" w:hAnsi="Times New Roman" w:cs="Times New Roman"/>
                <w:sz w:val="24"/>
                <w:szCs w:val="24"/>
              </w:rPr>
            </w:pPr>
          </w:p>
        </w:tc>
        <w:tc>
          <w:tcPr>
            <w:tcW w:w="1701" w:type="dxa"/>
            <w:vAlign w:val="center"/>
          </w:tcPr>
          <w:p w14:paraId="285DDCB8" w14:textId="149B2132" w:rsidR="00FB2130" w:rsidRPr="00000B6F" w:rsidRDefault="00FB2130" w:rsidP="00B03727">
            <w:pPr>
              <w:pStyle w:val="TableParagraph"/>
              <w:spacing w:before="28"/>
              <w:jc w:val="center"/>
              <w:rPr>
                <w:rFonts w:ascii="Times New Roman" w:eastAsia="標楷體" w:hAnsi="Times New Roman" w:cs="Times New Roman"/>
                <w:sz w:val="24"/>
                <w:szCs w:val="24"/>
              </w:rPr>
            </w:pPr>
            <w:r w:rsidRPr="00000B6F">
              <w:rPr>
                <w:rFonts w:ascii="Times New Roman" w:eastAsia="標楷體" w:hAnsi="Times New Roman" w:cs="Times New Roman"/>
                <w:spacing w:val="-4"/>
                <w:sz w:val="24"/>
                <w:szCs w:val="24"/>
              </w:rPr>
              <w:t>擬任非主管職務</w:t>
            </w:r>
          </w:p>
        </w:tc>
        <w:tc>
          <w:tcPr>
            <w:tcW w:w="1701" w:type="dxa"/>
            <w:vAlign w:val="center"/>
          </w:tcPr>
          <w:p w14:paraId="70A67AF4" w14:textId="52F124D2" w:rsidR="00FB2130" w:rsidRPr="00000B6F" w:rsidRDefault="00FB2130" w:rsidP="00B03727">
            <w:pPr>
              <w:pStyle w:val="TableParagraph"/>
              <w:spacing w:before="28"/>
              <w:jc w:val="center"/>
              <w:rPr>
                <w:rFonts w:ascii="Times New Roman" w:eastAsia="標楷體" w:hAnsi="Times New Roman" w:cs="Times New Roman"/>
                <w:sz w:val="24"/>
                <w:szCs w:val="24"/>
              </w:rPr>
            </w:pPr>
            <w:r>
              <w:rPr>
                <w:rFonts w:ascii="Times New Roman" w:eastAsia="標楷體" w:hAnsi="Times New Roman" w:cs="Times New Roman"/>
                <w:spacing w:val="-4"/>
                <w:sz w:val="24"/>
                <w:szCs w:val="24"/>
              </w:rPr>
              <w:t>擬任</w:t>
            </w:r>
            <w:r w:rsidRPr="00000B6F">
              <w:rPr>
                <w:rFonts w:ascii="Times New Roman" w:eastAsia="標楷體" w:hAnsi="Times New Roman" w:cs="Times New Roman"/>
                <w:spacing w:val="-4"/>
                <w:sz w:val="24"/>
                <w:szCs w:val="24"/>
              </w:rPr>
              <w:t>主管職務</w:t>
            </w:r>
          </w:p>
        </w:tc>
        <w:tc>
          <w:tcPr>
            <w:tcW w:w="6519" w:type="dxa"/>
            <w:vMerge/>
            <w:vAlign w:val="center"/>
          </w:tcPr>
          <w:p w14:paraId="3DC7D462" w14:textId="77777777" w:rsidR="00FB2130" w:rsidRPr="00000B6F" w:rsidRDefault="00FB2130" w:rsidP="00B03727">
            <w:pPr>
              <w:pStyle w:val="TableParagraph"/>
              <w:ind w:right="5"/>
              <w:jc w:val="center"/>
              <w:rPr>
                <w:rFonts w:ascii="Times New Roman" w:eastAsia="標楷體" w:hAnsi="Times New Roman" w:cs="Times New Roman"/>
                <w:sz w:val="24"/>
                <w:szCs w:val="24"/>
              </w:rPr>
            </w:pPr>
          </w:p>
        </w:tc>
      </w:tr>
      <w:tr w:rsidR="00BB7BB8" w:rsidRPr="00000B6F" w14:paraId="5735C0FD" w14:textId="77777777" w:rsidTr="009262E7">
        <w:tblPrEx>
          <w:tblLook w:val="04A0" w:firstRow="1" w:lastRow="0" w:firstColumn="1" w:lastColumn="0" w:noHBand="0" w:noVBand="1"/>
        </w:tblPrEx>
        <w:trPr>
          <w:trHeight w:val="3206"/>
        </w:trPr>
        <w:tc>
          <w:tcPr>
            <w:tcW w:w="1011" w:type="dxa"/>
            <w:vAlign w:val="center"/>
          </w:tcPr>
          <w:p w14:paraId="52A5F252" w14:textId="77777777" w:rsidR="00BB7BB8" w:rsidRPr="00000B6F" w:rsidRDefault="00BB7BB8" w:rsidP="003066B3">
            <w:pPr>
              <w:jc w:val="center"/>
              <w:rPr>
                <w:rFonts w:eastAsia="標楷體"/>
                <w:spacing w:val="-4"/>
                <w:sz w:val="24"/>
              </w:rPr>
            </w:pPr>
            <w:r w:rsidRPr="00000B6F">
              <w:rPr>
                <w:rFonts w:eastAsia="標楷體"/>
                <w:spacing w:val="-4"/>
                <w:sz w:val="24"/>
              </w:rPr>
              <w:t>面試或</w:t>
            </w:r>
          </w:p>
          <w:p w14:paraId="7A8730DE" w14:textId="7320F6B8" w:rsidR="00BB7BB8" w:rsidRPr="00000B6F" w:rsidRDefault="00BB7BB8" w:rsidP="003066B3">
            <w:pPr>
              <w:jc w:val="center"/>
              <w:rPr>
                <w:rFonts w:eastAsia="標楷體"/>
                <w:spacing w:val="-4"/>
                <w:sz w:val="24"/>
              </w:rPr>
            </w:pPr>
            <w:r w:rsidRPr="00000B6F">
              <w:rPr>
                <w:rFonts w:eastAsia="標楷體"/>
                <w:spacing w:val="-4"/>
                <w:sz w:val="24"/>
              </w:rPr>
              <w:t>業務測驗</w:t>
            </w:r>
          </w:p>
        </w:tc>
        <w:tc>
          <w:tcPr>
            <w:tcW w:w="4414" w:type="dxa"/>
            <w:gridSpan w:val="2"/>
            <w:vAlign w:val="center"/>
          </w:tcPr>
          <w:p w14:paraId="2A9AAD1A" w14:textId="0AE47E26" w:rsidR="00BB7BB8" w:rsidRPr="00BB7BB8" w:rsidRDefault="00BB7BB8" w:rsidP="009262E7">
            <w:pPr>
              <w:jc w:val="center"/>
              <w:rPr>
                <w:rFonts w:eastAsia="標楷體"/>
                <w:spacing w:val="-4"/>
                <w:sz w:val="24"/>
                <w:lang w:eastAsia="zh-TW"/>
              </w:rPr>
            </w:pPr>
            <w:r w:rsidRPr="00000B6F">
              <w:rPr>
                <w:rFonts w:eastAsia="標楷體"/>
                <w:spacing w:val="-4"/>
                <w:sz w:val="24"/>
                <w:lang w:eastAsia="zh-TW"/>
              </w:rPr>
              <w:t>面試或業務測驗</w:t>
            </w:r>
          </w:p>
        </w:tc>
        <w:tc>
          <w:tcPr>
            <w:tcW w:w="3402" w:type="dxa"/>
            <w:gridSpan w:val="2"/>
            <w:vAlign w:val="center"/>
          </w:tcPr>
          <w:p w14:paraId="0AEF7C31" w14:textId="4A730BA1" w:rsidR="00BB7BB8" w:rsidRPr="00000B6F" w:rsidRDefault="00BB7BB8" w:rsidP="00BB7BB8">
            <w:pPr>
              <w:pStyle w:val="TableParagraph"/>
              <w:spacing w:line="320" w:lineRule="exact"/>
              <w:ind w:left="530" w:rightChars="20" w:right="48"/>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 xml:space="preserve">     </w:t>
            </w:r>
            <w:r>
              <w:rPr>
                <w:rFonts w:ascii="Times New Roman" w:eastAsia="標楷體" w:hAnsi="Times New Roman" w:cs="Times New Roman" w:hint="eastAsia"/>
                <w:sz w:val="24"/>
                <w:szCs w:val="24"/>
                <w:lang w:eastAsia="zh-TW"/>
              </w:rPr>
              <w:t>百分比計分</w:t>
            </w:r>
          </w:p>
        </w:tc>
        <w:tc>
          <w:tcPr>
            <w:tcW w:w="6519" w:type="dxa"/>
            <w:vAlign w:val="center"/>
          </w:tcPr>
          <w:p w14:paraId="3D788535" w14:textId="77777777" w:rsidR="00BB7BB8" w:rsidRDefault="009262E7" w:rsidP="009262E7">
            <w:pPr>
              <w:pStyle w:val="TableParagraph"/>
              <w:numPr>
                <w:ilvl w:val="0"/>
                <w:numId w:val="13"/>
              </w:numPr>
              <w:spacing w:line="400" w:lineRule="exact"/>
              <w:ind w:leftChars="50" w:rightChars="50" w:right="12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視出缺職務實際需要，由首長或甄審委員會決議。</w:t>
            </w:r>
          </w:p>
          <w:p w14:paraId="51B2E631" w14:textId="2960315F" w:rsidR="009262E7" w:rsidRPr="009262E7" w:rsidRDefault="009262E7" w:rsidP="009262E7">
            <w:pPr>
              <w:pStyle w:val="TableParagraph"/>
              <w:numPr>
                <w:ilvl w:val="0"/>
                <w:numId w:val="13"/>
              </w:numPr>
              <w:spacing w:line="400" w:lineRule="exact"/>
              <w:ind w:leftChars="50" w:rightChars="50" w:right="12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有舉行面試或業務測驗者，本項占總成績百分之二十，其餘「基本選項」、「工作績效」、「職務適任性」及「首長綜合考評」等項合計分數占總成績百分之八十（即乘以</w:t>
            </w:r>
            <w:r>
              <w:rPr>
                <w:rFonts w:ascii="Times New Roman" w:eastAsia="標楷體" w:hAnsi="Times New Roman" w:cs="Times New Roman" w:hint="eastAsia"/>
                <w:sz w:val="24"/>
                <w:szCs w:val="24"/>
                <w:lang w:eastAsia="zh-TW"/>
              </w:rPr>
              <w:t>80%</w:t>
            </w:r>
            <w:r w:rsidR="009B11F1">
              <w:rPr>
                <w:rFonts w:ascii="Times New Roman" w:eastAsia="標楷體" w:hAnsi="Times New Roman" w:cs="Times New Roman" w:hint="eastAsia"/>
                <w:sz w:val="24"/>
                <w:szCs w:val="24"/>
                <w:lang w:eastAsia="zh-TW"/>
              </w:rPr>
              <w:t>）。如無舉行面試</w:t>
            </w:r>
            <w:r>
              <w:rPr>
                <w:rFonts w:ascii="Times New Roman" w:eastAsia="標楷體" w:hAnsi="Times New Roman" w:cs="Times New Roman" w:hint="eastAsia"/>
                <w:sz w:val="24"/>
                <w:szCs w:val="24"/>
                <w:lang w:eastAsia="zh-TW"/>
              </w:rPr>
              <w:t>或業務測驗者，本項不予計分</w:t>
            </w:r>
            <w:r w:rsidR="009B11F1">
              <w:rPr>
                <w:rFonts w:ascii="Times New Roman" w:eastAsia="標楷體" w:hAnsi="Times New Roman" w:cs="Times New Roman" w:hint="eastAsia"/>
                <w:sz w:val="24"/>
                <w:szCs w:val="24"/>
                <w:lang w:eastAsia="zh-TW"/>
              </w:rPr>
              <w:t>。</w:t>
            </w:r>
          </w:p>
        </w:tc>
      </w:tr>
      <w:tr w:rsidR="00210A8C" w:rsidRPr="00000B6F" w14:paraId="50734D82" w14:textId="77777777" w:rsidTr="006939DC">
        <w:trPr>
          <w:trHeight w:val="1475"/>
        </w:trPr>
        <w:tc>
          <w:tcPr>
            <w:tcW w:w="1011" w:type="dxa"/>
            <w:vAlign w:val="center"/>
          </w:tcPr>
          <w:p w14:paraId="0122B38C" w14:textId="77777777" w:rsidR="0091179D" w:rsidRPr="00000B6F" w:rsidRDefault="00210A8C" w:rsidP="000F05EC">
            <w:pPr>
              <w:jc w:val="center"/>
              <w:rPr>
                <w:rFonts w:eastAsia="標楷體"/>
                <w:spacing w:val="-4"/>
                <w:sz w:val="24"/>
              </w:rPr>
            </w:pPr>
            <w:r w:rsidRPr="00000B6F">
              <w:rPr>
                <w:rFonts w:eastAsia="標楷體"/>
                <w:spacing w:val="-4"/>
                <w:sz w:val="24"/>
              </w:rPr>
              <w:t>首長</w:t>
            </w:r>
          </w:p>
          <w:p w14:paraId="224C6EA3" w14:textId="2B4EC43F" w:rsidR="00210A8C" w:rsidRPr="00000B6F" w:rsidRDefault="00210A8C" w:rsidP="0091179D">
            <w:pPr>
              <w:jc w:val="center"/>
              <w:rPr>
                <w:rFonts w:eastAsia="標楷體"/>
                <w:spacing w:val="-4"/>
                <w:sz w:val="24"/>
              </w:rPr>
            </w:pPr>
            <w:r w:rsidRPr="00000B6F">
              <w:rPr>
                <w:rFonts w:eastAsia="標楷體"/>
                <w:spacing w:val="-4"/>
                <w:sz w:val="24"/>
              </w:rPr>
              <w:t>綜合考評</w:t>
            </w:r>
          </w:p>
        </w:tc>
        <w:tc>
          <w:tcPr>
            <w:tcW w:w="1012" w:type="dxa"/>
            <w:vAlign w:val="center"/>
          </w:tcPr>
          <w:p w14:paraId="693D1C3C" w14:textId="2ACE211A" w:rsidR="00210A8C" w:rsidRPr="00000B6F" w:rsidRDefault="001F544E" w:rsidP="00210A8C">
            <w:pPr>
              <w:pStyle w:val="TableParagraph"/>
              <w:jc w:val="center"/>
              <w:rPr>
                <w:rFonts w:ascii="Times New Roman" w:eastAsia="標楷體" w:hAnsi="Times New Roman" w:cs="Times New Roman"/>
                <w:spacing w:val="-4"/>
                <w:sz w:val="24"/>
                <w:szCs w:val="24"/>
                <w:lang w:eastAsia="zh-TW"/>
              </w:rPr>
            </w:pPr>
            <w:r w:rsidRPr="00000B6F">
              <w:rPr>
                <w:rFonts w:ascii="Times New Roman" w:eastAsia="標楷體" w:hAnsi="Times New Roman" w:cs="Times New Roman"/>
                <w:spacing w:val="-4"/>
                <w:sz w:val="24"/>
                <w:szCs w:val="24"/>
                <w:lang w:eastAsia="zh-TW"/>
              </w:rPr>
              <w:t>綜合考評</w:t>
            </w:r>
          </w:p>
        </w:tc>
        <w:tc>
          <w:tcPr>
            <w:tcW w:w="3402" w:type="dxa"/>
            <w:vAlign w:val="center"/>
          </w:tcPr>
          <w:p w14:paraId="68710C66" w14:textId="629539DA" w:rsidR="00210A8C" w:rsidRPr="00000B6F" w:rsidRDefault="007B7D52" w:rsidP="00311919">
            <w:pPr>
              <w:pStyle w:val="TableParagraph"/>
              <w:spacing w:line="340" w:lineRule="exact"/>
              <w:ind w:leftChars="20" w:left="48" w:rightChars="20" w:right="48"/>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由機關首長或經其授權之對象（含甄審委員會）就受考人品德及對國家之忠誠、服務情形、出缺職務需要等作綜合考評。</w:t>
            </w:r>
          </w:p>
        </w:tc>
        <w:tc>
          <w:tcPr>
            <w:tcW w:w="3402" w:type="dxa"/>
            <w:gridSpan w:val="2"/>
            <w:vAlign w:val="center"/>
          </w:tcPr>
          <w:p w14:paraId="53F5A6C1" w14:textId="3EBB3B71" w:rsidR="00210A8C" w:rsidRPr="00000B6F" w:rsidRDefault="00210A8C" w:rsidP="00210A8C">
            <w:pPr>
              <w:pStyle w:val="TableParagraph"/>
              <w:jc w:val="center"/>
              <w:rPr>
                <w:rFonts w:ascii="Times New Roman" w:eastAsia="標楷體" w:hAnsi="Times New Roman" w:cs="Times New Roman"/>
                <w:sz w:val="24"/>
                <w:szCs w:val="24"/>
              </w:rPr>
            </w:pPr>
            <w:r w:rsidRPr="00000B6F">
              <w:rPr>
                <w:rFonts w:ascii="Times New Roman" w:eastAsia="標楷體" w:hAnsi="Times New Roman" w:cs="Times New Roman"/>
                <w:sz w:val="24"/>
                <w:szCs w:val="24"/>
              </w:rPr>
              <w:t>20</w:t>
            </w:r>
            <w:r w:rsidRPr="00000B6F">
              <w:rPr>
                <w:rFonts w:ascii="Times New Roman" w:eastAsia="標楷體" w:hAnsi="Times New Roman" w:cs="Times New Roman"/>
                <w:sz w:val="24"/>
                <w:szCs w:val="24"/>
              </w:rPr>
              <w:t>分</w:t>
            </w:r>
          </w:p>
        </w:tc>
        <w:tc>
          <w:tcPr>
            <w:tcW w:w="6519" w:type="dxa"/>
            <w:vAlign w:val="center"/>
          </w:tcPr>
          <w:p w14:paraId="120B2411" w14:textId="62BF9720" w:rsidR="00210A8C" w:rsidRPr="00000B6F" w:rsidRDefault="00210A8C" w:rsidP="00311919">
            <w:pPr>
              <w:pStyle w:val="TableParagraph"/>
              <w:spacing w:line="340" w:lineRule="exact"/>
              <w:ind w:leftChars="50" w:left="120" w:rightChars="50" w:right="120"/>
              <w:jc w:val="both"/>
              <w:rPr>
                <w:rFonts w:ascii="Times New Roman" w:eastAsia="標楷體" w:hAnsi="Times New Roman" w:cs="Times New Roman"/>
                <w:sz w:val="24"/>
                <w:szCs w:val="24"/>
                <w:lang w:eastAsia="zh-TW"/>
              </w:rPr>
            </w:pPr>
            <w:r w:rsidRPr="00000B6F">
              <w:rPr>
                <w:rFonts w:ascii="Times New Roman" w:eastAsia="標楷體" w:hAnsi="Times New Roman" w:cs="Times New Roman"/>
                <w:sz w:val="24"/>
                <w:szCs w:val="24"/>
                <w:lang w:eastAsia="zh-TW"/>
              </w:rPr>
              <w:t>綜合考評評核後，應併同各評比類別分數提甄審委員會就各受考人之積分高低，排定名次，送由人事單位列冊陳請機關首長圈定陞補。</w:t>
            </w:r>
          </w:p>
        </w:tc>
      </w:tr>
    </w:tbl>
    <w:p w14:paraId="2B610F71" w14:textId="77777777" w:rsidR="00260551" w:rsidRPr="00141461" w:rsidRDefault="00260551" w:rsidP="00DB0D71">
      <w:pPr>
        <w:spacing w:beforeLines="50" w:before="180" w:line="320" w:lineRule="exact"/>
        <w:ind w:firstLineChars="50" w:firstLine="140"/>
        <w:jc w:val="both"/>
        <w:rPr>
          <w:rFonts w:eastAsia="標楷體"/>
          <w:sz w:val="28"/>
          <w:szCs w:val="28"/>
        </w:rPr>
      </w:pPr>
      <w:r w:rsidRPr="00141461">
        <w:rPr>
          <w:rFonts w:eastAsia="標楷體"/>
          <w:sz w:val="28"/>
          <w:szCs w:val="28"/>
        </w:rPr>
        <w:t>附則：</w:t>
      </w:r>
    </w:p>
    <w:p w14:paraId="548DC396" w14:textId="0CAE4DC6" w:rsidR="002E24F2" w:rsidRPr="00141461" w:rsidRDefault="002E24F2" w:rsidP="00C25B9B">
      <w:pPr>
        <w:numPr>
          <w:ilvl w:val="0"/>
          <w:numId w:val="11"/>
        </w:numPr>
        <w:spacing w:line="320" w:lineRule="exact"/>
        <w:ind w:rightChars="37" w:right="89" w:hanging="530"/>
        <w:jc w:val="both"/>
        <w:rPr>
          <w:rFonts w:eastAsia="標楷體"/>
          <w:sz w:val="28"/>
          <w:szCs w:val="28"/>
        </w:rPr>
      </w:pPr>
      <w:r w:rsidRPr="00141461">
        <w:rPr>
          <w:rFonts w:eastAsia="標楷體" w:hint="eastAsia"/>
          <w:sz w:val="28"/>
          <w:szCs w:val="28"/>
        </w:rPr>
        <w:t>本表依據「公務人員陞遷法」第七條規定訂定。</w:t>
      </w:r>
    </w:p>
    <w:p w14:paraId="459A2BEE" w14:textId="06417D2E" w:rsidR="00260551" w:rsidRPr="00141461" w:rsidRDefault="002E24F2" w:rsidP="00C25B9B">
      <w:pPr>
        <w:numPr>
          <w:ilvl w:val="0"/>
          <w:numId w:val="11"/>
        </w:numPr>
        <w:spacing w:line="320" w:lineRule="exact"/>
        <w:ind w:left="992" w:rightChars="37" w:right="89" w:hanging="567"/>
        <w:jc w:val="both"/>
        <w:rPr>
          <w:rFonts w:eastAsia="標楷體"/>
          <w:sz w:val="28"/>
          <w:szCs w:val="28"/>
        </w:rPr>
      </w:pPr>
      <w:r w:rsidRPr="00141461">
        <w:rPr>
          <w:rFonts w:eastAsia="標楷體" w:hint="eastAsia"/>
          <w:sz w:val="28"/>
          <w:szCs w:val="28"/>
        </w:rPr>
        <w:t>本表以行政院與所屬中央及地方各機關學校組織法規中，除政務人員及機要人員外，定有職稱及依法律任用、派用之</w:t>
      </w:r>
      <w:r w:rsidRPr="00141461">
        <w:rPr>
          <w:rFonts w:eastAsia="標楷體" w:hint="eastAsia"/>
          <w:sz w:val="28"/>
          <w:szCs w:val="28"/>
        </w:rPr>
        <w:t xml:space="preserve"> </w:t>
      </w:r>
      <w:r w:rsidRPr="00141461">
        <w:rPr>
          <w:rFonts w:eastAsia="標楷體" w:hint="eastAsia"/>
          <w:sz w:val="28"/>
          <w:szCs w:val="28"/>
        </w:rPr>
        <w:t>人員為適用對象。</w:t>
      </w:r>
    </w:p>
    <w:p w14:paraId="65AE978E" w14:textId="77777777" w:rsidR="002E24F2" w:rsidRPr="00141461" w:rsidRDefault="002E24F2" w:rsidP="00C25B9B">
      <w:pPr>
        <w:numPr>
          <w:ilvl w:val="0"/>
          <w:numId w:val="11"/>
        </w:numPr>
        <w:spacing w:line="320" w:lineRule="exact"/>
        <w:ind w:rightChars="37" w:right="89" w:hanging="530"/>
        <w:jc w:val="both"/>
        <w:rPr>
          <w:rFonts w:eastAsia="標楷體"/>
          <w:sz w:val="28"/>
          <w:szCs w:val="28"/>
        </w:rPr>
      </w:pPr>
      <w:r w:rsidRPr="00141461">
        <w:rPr>
          <w:rFonts w:eastAsia="標楷體" w:hint="eastAsia"/>
          <w:sz w:val="28"/>
          <w:szCs w:val="28"/>
        </w:rPr>
        <w:t>辦理育嬰留職停薪人員之陞任評分採計，由當事人自行就下列二種方式擇優採計：</w:t>
      </w:r>
    </w:p>
    <w:p w14:paraId="03C3847B" w14:textId="77777777" w:rsidR="00563819" w:rsidRPr="00141461" w:rsidRDefault="002E24F2" w:rsidP="00C25B9B">
      <w:pPr>
        <w:pStyle w:val="a5"/>
        <w:numPr>
          <w:ilvl w:val="1"/>
          <w:numId w:val="25"/>
        </w:numPr>
        <w:spacing w:line="320" w:lineRule="exact"/>
        <w:ind w:leftChars="0" w:left="1134" w:rightChars="37" w:right="89" w:hanging="567"/>
        <w:jc w:val="both"/>
        <w:rPr>
          <w:rFonts w:eastAsia="標楷體"/>
          <w:sz w:val="28"/>
          <w:szCs w:val="28"/>
        </w:rPr>
      </w:pPr>
      <w:r w:rsidRPr="00141461">
        <w:rPr>
          <w:rFonts w:eastAsia="標楷體" w:hint="eastAsia"/>
          <w:sz w:val="28"/>
          <w:szCs w:val="28"/>
        </w:rPr>
        <w:t>甲式：考績（成）、獎懲、重大殊榮評分均溯前採計。</w:t>
      </w:r>
    </w:p>
    <w:p w14:paraId="2303BB39" w14:textId="114C2634" w:rsidR="00563819" w:rsidRPr="00141461" w:rsidRDefault="002E24F2" w:rsidP="00C25B9B">
      <w:pPr>
        <w:pStyle w:val="a5"/>
        <w:numPr>
          <w:ilvl w:val="2"/>
          <w:numId w:val="25"/>
        </w:numPr>
        <w:spacing w:line="320" w:lineRule="exact"/>
        <w:ind w:leftChars="0" w:left="1276" w:rightChars="37" w:right="89" w:hanging="268"/>
        <w:jc w:val="both"/>
        <w:rPr>
          <w:rFonts w:eastAsia="標楷體"/>
          <w:sz w:val="28"/>
          <w:szCs w:val="28"/>
        </w:rPr>
      </w:pPr>
      <w:r w:rsidRPr="00141461">
        <w:rPr>
          <w:rFonts w:eastAsia="標楷體" w:hint="eastAsia"/>
          <w:sz w:val="28"/>
          <w:szCs w:val="28"/>
        </w:rPr>
        <w:t>是類人員考績（成）、獎懲、重大殊榮之評分得溯前採計，惟仍應以採計現職、同職務列等或同一陞遷序列職務期間之考績（成）、獎懲、重大殊榮為限，且最多合計五年。</w:t>
      </w:r>
    </w:p>
    <w:p w14:paraId="03D876ED" w14:textId="7CCB6C39" w:rsidR="00563819" w:rsidRPr="00141461" w:rsidRDefault="002E24F2" w:rsidP="00C25B9B">
      <w:pPr>
        <w:pStyle w:val="a5"/>
        <w:numPr>
          <w:ilvl w:val="2"/>
          <w:numId w:val="25"/>
        </w:numPr>
        <w:spacing w:line="320" w:lineRule="exact"/>
        <w:ind w:leftChars="0" w:left="1276" w:rightChars="37" w:right="89" w:hanging="268"/>
        <w:jc w:val="both"/>
        <w:rPr>
          <w:rFonts w:eastAsia="標楷體"/>
          <w:sz w:val="28"/>
          <w:szCs w:val="28"/>
        </w:rPr>
      </w:pPr>
      <w:r w:rsidRPr="00141461">
        <w:rPr>
          <w:rFonts w:eastAsia="標楷體" w:hint="eastAsia"/>
          <w:sz w:val="28"/>
          <w:szCs w:val="28"/>
        </w:rPr>
        <w:t>至年資部分，則依現行規定辦理，以現職、同職務列等或同一陞遷序列之職務期間為限（包含留職停薪前與回職復薪後之年資）。</w:t>
      </w:r>
    </w:p>
    <w:p w14:paraId="5FC11CBF" w14:textId="592537BF" w:rsidR="002E24F2" w:rsidRPr="00141461" w:rsidRDefault="002E24F2" w:rsidP="00C25B9B">
      <w:pPr>
        <w:pStyle w:val="a5"/>
        <w:numPr>
          <w:ilvl w:val="1"/>
          <w:numId w:val="25"/>
        </w:numPr>
        <w:spacing w:line="320" w:lineRule="exact"/>
        <w:ind w:leftChars="0" w:left="1134" w:rightChars="37" w:right="89" w:hanging="567"/>
        <w:jc w:val="both"/>
        <w:rPr>
          <w:rFonts w:eastAsia="標楷體"/>
          <w:sz w:val="28"/>
          <w:szCs w:val="28"/>
        </w:rPr>
      </w:pPr>
      <w:r w:rsidRPr="00141461">
        <w:rPr>
          <w:rFonts w:eastAsia="標楷體" w:hint="eastAsia"/>
          <w:sz w:val="28"/>
          <w:szCs w:val="28"/>
        </w:rPr>
        <w:t>乙式：留職停薪期間之年資折半採計評分。</w:t>
      </w:r>
    </w:p>
    <w:p w14:paraId="4686E6CF" w14:textId="1BFD02A7" w:rsidR="002E24F2" w:rsidRPr="00141461" w:rsidRDefault="00D729F7" w:rsidP="00C25B9B">
      <w:pPr>
        <w:numPr>
          <w:ilvl w:val="0"/>
          <w:numId w:val="11"/>
        </w:numPr>
        <w:spacing w:line="320" w:lineRule="exact"/>
        <w:ind w:left="1049" w:rightChars="37" w:right="89" w:hanging="567"/>
        <w:jc w:val="both"/>
        <w:rPr>
          <w:rFonts w:eastAsia="標楷體"/>
          <w:sz w:val="28"/>
          <w:szCs w:val="28"/>
        </w:rPr>
      </w:pPr>
      <w:r w:rsidRPr="00141461">
        <w:rPr>
          <w:rFonts w:eastAsia="標楷體" w:hint="eastAsia"/>
          <w:sz w:val="28"/>
          <w:szCs w:val="28"/>
        </w:rPr>
        <w:t>對於自他機關調進本機關服務具參加陞任資格人員，須任職一年後，始採計其曾任他機關服務之年資、考績（成）、獎懲、重大殊榮事實列入資績評分。</w:t>
      </w:r>
    </w:p>
    <w:p w14:paraId="2E92AAD9" w14:textId="456BDE9A" w:rsidR="005049F3" w:rsidRPr="003D68DA" w:rsidRDefault="003D68DA" w:rsidP="00C25B9B">
      <w:pPr>
        <w:numPr>
          <w:ilvl w:val="0"/>
          <w:numId w:val="11"/>
        </w:numPr>
        <w:spacing w:line="320" w:lineRule="exact"/>
        <w:ind w:left="1049" w:rightChars="37" w:right="89" w:hanging="567"/>
        <w:jc w:val="both"/>
        <w:rPr>
          <w:rFonts w:eastAsia="標楷體"/>
          <w:sz w:val="28"/>
          <w:szCs w:val="28"/>
        </w:rPr>
      </w:pPr>
      <w:r w:rsidRPr="003D68DA">
        <w:rPr>
          <w:rFonts w:eastAsia="標楷體" w:hint="eastAsia"/>
          <w:sz w:val="28"/>
          <w:szCs w:val="28"/>
        </w:rPr>
        <w:t>降調人員之陞任評分採計：曾任較高職務列等或較高陞遷序列資績分數不予採計（即高資不低採），惟考績（成）、獎懲、重大殊榮之評分「得」溯前採計，惟仍應以採計現職、同職務列等或同一陞遷序列職務期間之考績（成）、獎懲、重大殊榮為限，且最多合計五年。至年資部分，仍以現職、同職務列等或同一陞遷序列之職務期間為限（包含前已採計之與擬陞任職</w:t>
      </w:r>
      <w:r w:rsidRPr="003D68DA">
        <w:rPr>
          <w:rFonts w:eastAsia="標楷體" w:hint="eastAsia"/>
          <w:sz w:val="28"/>
          <w:szCs w:val="28"/>
        </w:rPr>
        <w:t xml:space="preserve"> </w:t>
      </w:r>
      <w:r w:rsidRPr="003D68DA">
        <w:rPr>
          <w:rFonts w:eastAsia="標楷體" w:hint="eastAsia"/>
          <w:sz w:val="28"/>
          <w:szCs w:val="28"/>
        </w:rPr>
        <w:t>務次一序列為同一序列之年資亦可採計）。</w:t>
      </w:r>
    </w:p>
    <w:sectPr w:rsidR="005049F3" w:rsidRPr="003D68DA" w:rsidSect="00E24258">
      <w:pgSz w:w="16838" w:h="23811" w:code="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64AA0" w14:textId="77777777" w:rsidR="002347FA" w:rsidRDefault="002347FA" w:rsidP="001F544E">
      <w:r>
        <w:separator/>
      </w:r>
    </w:p>
  </w:endnote>
  <w:endnote w:type="continuationSeparator" w:id="0">
    <w:p w14:paraId="7A962EE6" w14:textId="77777777" w:rsidR="002347FA" w:rsidRDefault="002347FA" w:rsidP="001F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66210" w14:textId="77777777" w:rsidR="002347FA" w:rsidRDefault="002347FA" w:rsidP="001F544E">
      <w:r>
        <w:separator/>
      </w:r>
    </w:p>
  </w:footnote>
  <w:footnote w:type="continuationSeparator" w:id="0">
    <w:p w14:paraId="1E81E035" w14:textId="77777777" w:rsidR="002347FA" w:rsidRDefault="002347FA" w:rsidP="001F5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32D"/>
    <w:multiLevelType w:val="hybridMultilevel"/>
    <w:tmpl w:val="966E9078"/>
    <w:lvl w:ilvl="0" w:tplc="0409000F">
      <w:start w:val="1"/>
      <w:numFmt w:val="decimal"/>
      <w:lvlText w:val="%1."/>
      <w:lvlJc w:val="left"/>
      <w:pPr>
        <w:ind w:left="2179" w:hanging="480"/>
      </w:p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 w15:restartNumberingAfterBreak="0">
    <w:nsid w:val="099A7B3F"/>
    <w:multiLevelType w:val="hybridMultilevel"/>
    <w:tmpl w:val="484E6848"/>
    <w:lvl w:ilvl="0" w:tplc="6BDC2F4E">
      <w:start w:val="1"/>
      <w:numFmt w:val="taiwaneseCountingThousand"/>
      <w:lvlText w:val="%1、"/>
      <w:lvlJc w:val="left"/>
      <w:pPr>
        <w:ind w:left="570" w:hanging="45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09F52357"/>
    <w:multiLevelType w:val="hybridMultilevel"/>
    <w:tmpl w:val="3BDCB030"/>
    <w:lvl w:ilvl="0" w:tplc="9F889D54">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A842925"/>
    <w:multiLevelType w:val="hybridMultilevel"/>
    <w:tmpl w:val="39E8D914"/>
    <w:lvl w:ilvl="0" w:tplc="DEC85874">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DCC7327"/>
    <w:multiLevelType w:val="multilevel"/>
    <w:tmpl w:val="C9AC642A"/>
    <w:lvl w:ilvl="0">
      <w:start w:val="1"/>
      <w:numFmt w:val="taiwaneseCountingThousand"/>
      <w:suff w:val="nothing"/>
      <w:lvlText w:val="%1、"/>
      <w:lvlJc w:val="left"/>
      <w:pPr>
        <w:ind w:left="480" w:hanging="48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05718E9"/>
    <w:multiLevelType w:val="hybridMultilevel"/>
    <w:tmpl w:val="9858033A"/>
    <w:lvl w:ilvl="0" w:tplc="BCF4823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208F3A62"/>
    <w:multiLevelType w:val="hybridMultilevel"/>
    <w:tmpl w:val="9858033A"/>
    <w:lvl w:ilvl="0" w:tplc="BCF4823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257370EB"/>
    <w:multiLevelType w:val="hybridMultilevel"/>
    <w:tmpl w:val="1F10EE1E"/>
    <w:lvl w:ilvl="0" w:tplc="BCF4823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25D21DBF"/>
    <w:multiLevelType w:val="hybridMultilevel"/>
    <w:tmpl w:val="D382D6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3F6E58"/>
    <w:multiLevelType w:val="hybridMultilevel"/>
    <w:tmpl w:val="B412B384"/>
    <w:lvl w:ilvl="0" w:tplc="7938E75E">
      <w:start w:val="1"/>
      <w:numFmt w:val="taiwaneseCountingThousand"/>
      <w:lvlText w:val="%1、"/>
      <w:lvlJc w:val="left"/>
      <w:pPr>
        <w:ind w:left="528" w:hanging="480"/>
      </w:pPr>
      <w:rPr>
        <w:rFonts w:hint="eastAsia"/>
      </w:rPr>
    </w:lvl>
    <w:lvl w:ilvl="1" w:tplc="C382DFFC">
      <w:start w:val="1"/>
      <w:numFmt w:val="taiwaneseCountingThousand"/>
      <w:lvlText w:val="(%2)"/>
      <w:lvlJc w:val="left"/>
      <w:pPr>
        <w:ind w:left="918" w:hanging="390"/>
      </w:pPr>
      <w:rPr>
        <w:rFonts w:hint="default"/>
      </w:rPr>
    </w:lvl>
    <w:lvl w:ilvl="2" w:tplc="72B05598">
      <w:start w:val="1"/>
      <w:numFmt w:val="decimal"/>
      <w:lvlText w:val="%3."/>
      <w:lvlJc w:val="left"/>
      <w:pPr>
        <w:ind w:left="1368" w:hanging="360"/>
      </w:pPr>
      <w:rPr>
        <w:rFonts w:hint="default"/>
      </w:rPr>
    </w:lvl>
    <w:lvl w:ilvl="3" w:tplc="0409000F">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0" w15:restartNumberingAfterBreak="0">
    <w:nsid w:val="31F37512"/>
    <w:multiLevelType w:val="multilevel"/>
    <w:tmpl w:val="02E4207E"/>
    <w:lvl w:ilvl="0">
      <w:start w:val="1"/>
      <w:numFmt w:val="taiwaneseCountingThousand"/>
      <w:lvlText w:val="%1、"/>
      <w:lvlJc w:val="left"/>
      <w:pPr>
        <w:ind w:left="480" w:hanging="480"/>
      </w:pPr>
      <w:rPr>
        <w:b w:val="0"/>
        <w:bCs w:val="0"/>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C9B3B6C"/>
    <w:multiLevelType w:val="hybridMultilevel"/>
    <w:tmpl w:val="08A6264A"/>
    <w:lvl w:ilvl="0" w:tplc="4F6AF6A6">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CB36072"/>
    <w:multiLevelType w:val="hybridMultilevel"/>
    <w:tmpl w:val="74C29C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0B4AA6"/>
    <w:multiLevelType w:val="hybridMultilevel"/>
    <w:tmpl w:val="941C99F6"/>
    <w:lvl w:ilvl="0" w:tplc="AE8A5C90">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45C31C41"/>
    <w:multiLevelType w:val="hybridMultilevel"/>
    <w:tmpl w:val="3DA65E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C12EFD"/>
    <w:multiLevelType w:val="hybridMultilevel"/>
    <w:tmpl w:val="C130F068"/>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52886419"/>
    <w:multiLevelType w:val="hybridMultilevel"/>
    <w:tmpl w:val="C48253F2"/>
    <w:lvl w:ilvl="0" w:tplc="0100C69C">
      <w:start w:val="1"/>
      <w:numFmt w:val="taiwaneseCountingThousand"/>
      <w:lvlText w:val="%1、"/>
      <w:lvlJc w:val="left"/>
      <w:pPr>
        <w:ind w:left="570" w:hanging="45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15:restartNumberingAfterBreak="0">
    <w:nsid w:val="57C910B6"/>
    <w:multiLevelType w:val="hybridMultilevel"/>
    <w:tmpl w:val="88CA1D1E"/>
    <w:lvl w:ilvl="0" w:tplc="7938E75E">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F807DC"/>
    <w:multiLevelType w:val="hybridMultilevel"/>
    <w:tmpl w:val="A380DDA0"/>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5B273FDE"/>
    <w:multiLevelType w:val="hybridMultilevel"/>
    <w:tmpl w:val="CE60C086"/>
    <w:lvl w:ilvl="0" w:tplc="04090015">
      <w:start w:val="1"/>
      <w:numFmt w:val="taiwaneseCountingThousand"/>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0" w15:restartNumberingAfterBreak="0">
    <w:nsid w:val="5CB979D3"/>
    <w:multiLevelType w:val="hybridMultilevel"/>
    <w:tmpl w:val="1F10EE1E"/>
    <w:lvl w:ilvl="0" w:tplc="BCF4823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5F033136"/>
    <w:multiLevelType w:val="hybridMultilevel"/>
    <w:tmpl w:val="08A6264A"/>
    <w:lvl w:ilvl="0" w:tplc="4F6AF6A6">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60D358F0"/>
    <w:multiLevelType w:val="hybridMultilevel"/>
    <w:tmpl w:val="7A00EB32"/>
    <w:lvl w:ilvl="0" w:tplc="DEC85874">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ED3963"/>
    <w:multiLevelType w:val="multilevel"/>
    <w:tmpl w:val="690C5C2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4" w15:restartNumberingAfterBreak="0">
    <w:nsid w:val="6C496F84"/>
    <w:multiLevelType w:val="multilevel"/>
    <w:tmpl w:val="7F6A90C8"/>
    <w:lvl w:ilvl="0">
      <w:start w:val="1"/>
      <w:numFmt w:val="taiwaneseCountingThousand"/>
      <w:suff w:val="nothing"/>
      <w:lvlText w:val="%1、"/>
      <w:lvlJc w:val="left"/>
      <w:pPr>
        <w:ind w:left="956" w:hanging="476"/>
      </w:pPr>
    </w:lvl>
    <w:lvl w:ilvl="1">
      <w:start w:val="1"/>
      <w:numFmt w:val="taiwaneseCountingThousand"/>
      <w:suff w:val="nothing"/>
      <w:lvlText w:val="（%2）"/>
      <w:lvlJc w:val="left"/>
      <w:pPr>
        <w:ind w:left="1433" w:hanging="715"/>
      </w:pPr>
    </w:lvl>
    <w:lvl w:ilvl="2">
      <w:start w:val="1"/>
      <w:numFmt w:val="decimalFullWidth"/>
      <w:suff w:val="nothing"/>
      <w:lvlText w:val="%3、"/>
      <w:lvlJc w:val="left"/>
      <w:pPr>
        <w:ind w:left="1671" w:hanging="477"/>
      </w:pPr>
    </w:lvl>
    <w:lvl w:ilvl="3">
      <w:start w:val="1"/>
      <w:numFmt w:val="decimalFullWidth"/>
      <w:suff w:val="nothing"/>
      <w:lvlText w:val="（%4）"/>
      <w:lvlJc w:val="left"/>
      <w:pPr>
        <w:ind w:left="2147" w:hanging="714"/>
      </w:pPr>
    </w:lvl>
    <w:lvl w:ilvl="4">
      <w:start w:val="1"/>
      <w:numFmt w:val="ideographTraditional"/>
      <w:suff w:val="nothing"/>
      <w:lvlText w:val="%5、"/>
      <w:lvlJc w:val="left"/>
      <w:pPr>
        <w:ind w:left="2385" w:hanging="476"/>
      </w:pPr>
    </w:lvl>
    <w:lvl w:ilvl="5">
      <w:start w:val="1"/>
      <w:numFmt w:val="ideographTraditional"/>
      <w:suff w:val="nothing"/>
      <w:lvlText w:val="（%6）"/>
      <w:lvlJc w:val="left"/>
      <w:pPr>
        <w:ind w:left="2861" w:hanging="714"/>
      </w:pPr>
    </w:lvl>
    <w:lvl w:ilvl="6">
      <w:start w:val="1"/>
      <w:numFmt w:val="ideographZodiac"/>
      <w:suff w:val="nothing"/>
      <w:lvlText w:val="%7、"/>
      <w:lvlJc w:val="left"/>
      <w:pPr>
        <w:ind w:left="3099" w:hanging="476"/>
      </w:pPr>
    </w:lvl>
    <w:lvl w:ilvl="7">
      <w:start w:val="1"/>
      <w:numFmt w:val="ideographZodiac"/>
      <w:suff w:val="nothing"/>
      <w:lvlText w:val="（%8）"/>
      <w:lvlJc w:val="left"/>
      <w:pPr>
        <w:ind w:left="3576" w:hanging="715"/>
      </w:pPr>
    </w:lvl>
    <w:lvl w:ilvl="8">
      <w:start w:val="1"/>
      <w:numFmt w:val="decimalFullWidth"/>
      <w:suff w:val="nothing"/>
      <w:lvlText w:val="%9）"/>
      <w:lvlJc w:val="left"/>
      <w:pPr>
        <w:ind w:left="3814" w:hanging="477"/>
      </w:pPr>
    </w:lvl>
  </w:abstractNum>
  <w:abstractNum w:abstractNumId="25" w15:restartNumberingAfterBreak="0">
    <w:nsid w:val="79CF417A"/>
    <w:multiLevelType w:val="hybridMultilevel"/>
    <w:tmpl w:val="D6C840C8"/>
    <w:lvl w:ilvl="0" w:tplc="BCF4823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7B6E6FB0"/>
    <w:multiLevelType w:val="hybridMultilevel"/>
    <w:tmpl w:val="DA9E62D2"/>
    <w:lvl w:ilvl="0" w:tplc="02749C12">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4"/>
  </w:num>
  <w:num w:numId="2">
    <w:abstractNumId w:val="19"/>
  </w:num>
  <w:num w:numId="3">
    <w:abstractNumId w:val="8"/>
  </w:num>
  <w:num w:numId="4">
    <w:abstractNumId w:val="13"/>
  </w:num>
  <w:num w:numId="5">
    <w:abstractNumId w:val="12"/>
  </w:num>
  <w:num w:numId="6">
    <w:abstractNumId w:val="15"/>
  </w:num>
  <w:num w:numId="7">
    <w:abstractNumId w:val="18"/>
  </w:num>
  <w:num w:numId="8">
    <w:abstractNumId w:val="16"/>
  </w:num>
  <w:num w:numId="9">
    <w:abstractNumId w:val="20"/>
  </w:num>
  <w:num w:numId="10">
    <w:abstractNumId w:val="1"/>
  </w:num>
  <w:num w:numId="11">
    <w:abstractNumId w:val="24"/>
  </w:num>
  <w:num w:numId="12">
    <w:abstractNumId w:val="23"/>
  </w:num>
  <w:num w:numId="13">
    <w:abstractNumId w:val="7"/>
  </w:num>
  <w:num w:numId="14">
    <w:abstractNumId w:val="25"/>
  </w:num>
  <w:num w:numId="15">
    <w:abstractNumId w:val="22"/>
  </w:num>
  <w:num w:numId="16">
    <w:abstractNumId w:val="6"/>
  </w:num>
  <w:num w:numId="17">
    <w:abstractNumId w:val="3"/>
  </w:num>
  <w:num w:numId="18">
    <w:abstractNumId w:val="11"/>
  </w:num>
  <w:num w:numId="19">
    <w:abstractNumId w:val="0"/>
  </w:num>
  <w:num w:numId="20">
    <w:abstractNumId w:val="5"/>
  </w:num>
  <w:num w:numId="21">
    <w:abstractNumId w:val="21"/>
  </w:num>
  <w:num w:numId="22">
    <w:abstractNumId w:val="26"/>
  </w:num>
  <w:num w:numId="23">
    <w:abstractNumId w:val="17"/>
  </w:num>
  <w:num w:numId="24">
    <w:abstractNumId w:val="2"/>
  </w:num>
  <w:num w:numId="25">
    <w:abstractNumId w:val="9"/>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35"/>
    <w:rsid w:val="00000B6F"/>
    <w:rsid w:val="00010414"/>
    <w:rsid w:val="00013F77"/>
    <w:rsid w:val="00036BC1"/>
    <w:rsid w:val="000456E3"/>
    <w:rsid w:val="0007163A"/>
    <w:rsid w:val="00077F39"/>
    <w:rsid w:val="00086920"/>
    <w:rsid w:val="000902E7"/>
    <w:rsid w:val="000941E7"/>
    <w:rsid w:val="00094532"/>
    <w:rsid w:val="000A0DB5"/>
    <w:rsid w:val="000A2CA9"/>
    <w:rsid w:val="000B0F83"/>
    <w:rsid w:val="000C2FDF"/>
    <w:rsid w:val="000C3C08"/>
    <w:rsid w:val="000C75C5"/>
    <w:rsid w:val="000C788C"/>
    <w:rsid w:val="000D4290"/>
    <w:rsid w:val="000E7CED"/>
    <w:rsid w:val="000F05EC"/>
    <w:rsid w:val="00105BE4"/>
    <w:rsid w:val="00121C50"/>
    <w:rsid w:val="001368D2"/>
    <w:rsid w:val="00141461"/>
    <w:rsid w:val="0015520D"/>
    <w:rsid w:val="00162902"/>
    <w:rsid w:val="00171E20"/>
    <w:rsid w:val="0017462D"/>
    <w:rsid w:val="001870EE"/>
    <w:rsid w:val="00196D63"/>
    <w:rsid w:val="001B3A7B"/>
    <w:rsid w:val="001B556E"/>
    <w:rsid w:val="001B590D"/>
    <w:rsid w:val="001B7341"/>
    <w:rsid w:val="001C19AD"/>
    <w:rsid w:val="001C545D"/>
    <w:rsid w:val="001E2484"/>
    <w:rsid w:val="001E7A9E"/>
    <w:rsid w:val="001F29B6"/>
    <w:rsid w:val="001F544E"/>
    <w:rsid w:val="001F5CA4"/>
    <w:rsid w:val="00202087"/>
    <w:rsid w:val="00210A8C"/>
    <w:rsid w:val="00233704"/>
    <w:rsid w:val="002347FA"/>
    <w:rsid w:val="0023669F"/>
    <w:rsid w:val="002419E7"/>
    <w:rsid w:val="00242DFB"/>
    <w:rsid w:val="0025107C"/>
    <w:rsid w:val="002528E6"/>
    <w:rsid w:val="00253E25"/>
    <w:rsid w:val="00253EC3"/>
    <w:rsid w:val="00260551"/>
    <w:rsid w:val="002654F8"/>
    <w:rsid w:val="00266C11"/>
    <w:rsid w:val="0027324D"/>
    <w:rsid w:val="0028267A"/>
    <w:rsid w:val="00292710"/>
    <w:rsid w:val="002A0918"/>
    <w:rsid w:val="002C59DB"/>
    <w:rsid w:val="002D25ED"/>
    <w:rsid w:val="002E24F2"/>
    <w:rsid w:val="003004D6"/>
    <w:rsid w:val="00301854"/>
    <w:rsid w:val="003066B3"/>
    <w:rsid w:val="00307A06"/>
    <w:rsid w:val="00311919"/>
    <w:rsid w:val="00321426"/>
    <w:rsid w:val="00340E36"/>
    <w:rsid w:val="003416B3"/>
    <w:rsid w:val="0034337E"/>
    <w:rsid w:val="0035323C"/>
    <w:rsid w:val="00355FF2"/>
    <w:rsid w:val="00356BD3"/>
    <w:rsid w:val="003623CF"/>
    <w:rsid w:val="003776B7"/>
    <w:rsid w:val="00382DCA"/>
    <w:rsid w:val="00384E7F"/>
    <w:rsid w:val="00387E35"/>
    <w:rsid w:val="00392360"/>
    <w:rsid w:val="00396235"/>
    <w:rsid w:val="003B1A17"/>
    <w:rsid w:val="003B7309"/>
    <w:rsid w:val="003C10F3"/>
    <w:rsid w:val="003D68DA"/>
    <w:rsid w:val="004001A8"/>
    <w:rsid w:val="0040644C"/>
    <w:rsid w:val="00423681"/>
    <w:rsid w:val="0043205F"/>
    <w:rsid w:val="004527BA"/>
    <w:rsid w:val="00455777"/>
    <w:rsid w:val="00456629"/>
    <w:rsid w:val="0046787D"/>
    <w:rsid w:val="00470358"/>
    <w:rsid w:val="004747CC"/>
    <w:rsid w:val="004A314D"/>
    <w:rsid w:val="004A32C2"/>
    <w:rsid w:val="004B41FF"/>
    <w:rsid w:val="004C5BD6"/>
    <w:rsid w:val="004D4767"/>
    <w:rsid w:val="004D5AEF"/>
    <w:rsid w:val="004F1CEC"/>
    <w:rsid w:val="005049F3"/>
    <w:rsid w:val="005163F2"/>
    <w:rsid w:val="00516FEA"/>
    <w:rsid w:val="005271BE"/>
    <w:rsid w:val="00552B50"/>
    <w:rsid w:val="0055539F"/>
    <w:rsid w:val="00563819"/>
    <w:rsid w:val="00575635"/>
    <w:rsid w:val="00581379"/>
    <w:rsid w:val="005A23E6"/>
    <w:rsid w:val="005A48E8"/>
    <w:rsid w:val="005B11E2"/>
    <w:rsid w:val="005D58B6"/>
    <w:rsid w:val="005E315D"/>
    <w:rsid w:val="005E7341"/>
    <w:rsid w:val="005F70A2"/>
    <w:rsid w:val="00601300"/>
    <w:rsid w:val="00606257"/>
    <w:rsid w:val="00630E64"/>
    <w:rsid w:val="00631286"/>
    <w:rsid w:val="00633AFF"/>
    <w:rsid w:val="006340ED"/>
    <w:rsid w:val="006452A4"/>
    <w:rsid w:val="0064744E"/>
    <w:rsid w:val="006527BF"/>
    <w:rsid w:val="006535C5"/>
    <w:rsid w:val="00657EFD"/>
    <w:rsid w:val="00666B5E"/>
    <w:rsid w:val="00672899"/>
    <w:rsid w:val="00672DDF"/>
    <w:rsid w:val="00674140"/>
    <w:rsid w:val="006757D4"/>
    <w:rsid w:val="006767FA"/>
    <w:rsid w:val="00681694"/>
    <w:rsid w:val="00681A14"/>
    <w:rsid w:val="0069051E"/>
    <w:rsid w:val="006939DC"/>
    <w:rsid w:val="00697223"/>
    <w:rsid w:val="0069734E"/>
    <w:rsid w:val="006A06F5"/>
    <w:rsid w:val="006A475E"/>
    <w:rsid w:val="006B0805"/>
    <w:rsid w:val="006C780D"/>
    <w:rsid w:val="006E3E60"/>
    <w:rsid w:val="006E64D4"/>
    <w:rsid w:val="007048E9"/>
    <w:rsid w:val="00705C03"/>
    <w:rsid w:val="00711B97"/>
    <w:rsid w:val="0072171E"/>
    <w:rsid w:val="00731344"/>
    <w:rsid w:val="00731840"/>
    <w:rsid w:val="00741B9A"/>
    <w:rsid w:val="00750010"/>
    <w:rsid w:val="00756920"/>
    <w:rsid w:val="00765239"/>
    <w:rsid w:val="00765384"/>
    <w:rsid w:val="00785973"/>
    <w:rsid w:val="0079118D"/>
    <w:rsid w:val="0079276E"/>
    <w:rsid w:val="007B05B5"/>
    <w:rsid w:val="007B2E31"/>
    <w:rsid w:val="007B3DD5"/>
    <w:rsid w:val="007B6071"/>
    <w:rsid w:val="007B694D"/>
    <w:rsid w:val="007B7D52"/>
    <w:rsid w:val="007C71D0"/>
    <w:rsid w:val="007D6E0C"/>
    <w:rsid w:val="007E52D1"/>
    <w:rsid w:val="007E56C1"/>
    <w:rsid w:val="007F7230"/>
    <w:rsid w:val="008037E0"/>
    <w:rsid w:val="00803F57"/>
    <w:rsid w:val="00806C0A"/>
    <w:rsid w:val="00807CC4"/>
    <w:rsid w:val="00815871"/>
    <w:rsid w:val="00821D66"/>
    <w:rsid w:val="0084564B"/>
    <w:rsid w:val="00854FA3"/>
    <w:rsid w:val="00876E0B"/>
    <w:rsid w:val="00883775"/>
    <w:rsid w:val="0088419D"/>
    <w:rsid w:val="00887964"/>
    <w:rsid w:val="008A269E"/>
    <w:rsid w:val="008A3137"/>
    <w:rsid w:val="008A6456"/>
    <w:rsid w:val="008A6E23"/>
    <w:rsid w:val="008C28E3"/>
    <w:rsid w:val="008D2C85"/>
    <w:rsid w:val="008D7D2A"/>
    <w:rsid w:val="008F232F"/>
    <w:rsid w:val="00903114"/>
    <w:rsid w:val="00907857"/>
    <w:rsid w:val="0091179D"/>
    <w:rsid w:val="0092353A"/>
    <w:rsid w:val="009262E7"/>
    <w:rsid w:val="009463CD"/>
    <w:rsid w:val="00953DAE"/>
    <w:rsid w:val="00954B51"/>
    <w:rsid w:val="0096083A"/>
    <w:rsid w:val="0096330C"/>
    <w:rsid w:val="0098062C"/>
    <w:rsid w:val="009833FE"/>
    <w:rsid w:val="00996862"/>
    <w:rsid w:val="009A1692"/>
    <w:rsid w:val="009B11F1"/>
    <w:rsid w:val="009B5FEF"/>
    <w:rsid w:val="009B753D"/>
    <w:rsid w:val="009C082D"/>
    <w:rsid w:val="009C0B39"/>
    <w:rsid w:val="009C6A6A"/>
    <w:rsid w:val="009C72E3"/>
    <w:rsid w:val="009D172B"/>
    <w:rsid w:val="009F1112"/>
    <w:rsid w:val="00A032EF"/>
    <w:rsid w:val="00A068C2"/>
    <w:rsid w:val="00A15C29"/>
    <w:rsid w:val="00A25513"/>
    <w:rsid w:val="00A275C1"/>
    <w:rsid w:val="00A35C7F"/>
    <w:rsid w:val="00A4442E"/>
    <w:rsid w:val="00A4485A"/>
    <w:rsid w:val="00A52306"/>
    <w:rsid w:val="00A56515"/>
    <w:rsid w:val="00A63C1E"/>
    <w:rsid w:val="00A66E7C"/>
    <w:rsid w:val="00A86678"/>
    <w:rsid w:val="00A90072"/>
    <w:rsid w:val="00A96EAD"/>
    <w:rsid w:val="00AA3E12"/>
    <w:rsid w:val="00AB302A"/>
    <w:rsid w:val="00AC7940"/>
    <w:rsid w:val="00AE397F"/>
    <w:rsid w:val="00AF0501"/>
    <w:rsid w:val="00AF39D0"/>
    <w:rsid w:val="00AF5FAD"/>
    <w:rsid w:val="00B063FE"/>
    <w:rsid w:val="00B10293"/>
    <w:rsid w:val="00B352BB"/>
    <w:rsid w:val="00B3669A"/>
    <w:rsid w:val="00B43618"/>
    <w:rsid w:val="00B54277"/>
    <w:rsid w:val="00B55DB7"/>
    <w:rsid w:val="00B6028D"/>
    <w:rsid w:val="00B76881"/>
    <w:rsid w:val="00B833EE"/>
    <w:rsid w:val="00B86591"/>
    <w:rsid w:val="00BA0BED"/>
    <w:rsid w:val="00BA4659"/>
    <w:rsid w:val="00BA7D86"/>
    <w:rsid w:val="00BB7BB8"/>
    <w:rsid w:val="00BC4190"/>
    <w:rsid w:val="00BC48CE"/>
    <w:rsid w:val="00BC65CB"/>
    <w:rsid w:val="00BC7D84"/>
    <w:rsid w:val="00BD6BC3"/>
    <w:rsid w:val="00BF24E6"/>
    <w:rsid w:val="00C011E4"/>
    <w:rsid w:val="00C01CCB"/>
    <w:rsid w:val="00C14D8F"/>
    <w:rsid w:val="00C17341"/>
    <w:rsid w:val="00C217C6"/>
    <w:rsid w:val="00C21A17"/>
    <w:rsid w:val="00C231C6"/>
    <w:rsid w:val="00C23F86"/>
    <w:rsid w:val="00C25B9B"/>
    <w:rsid w:val="00C26EBE"/>
    <w:rsid w:val="00C41351"/>
    <w:rsid w:val="00C55DA1"/>
    <w:rsid w:val="00C62BAC"/>
    <w:rsid w:val="00C63E4E"/>
    <w:rsid w:val="00C65408"/>
    <w:rsid w:val="00C73134"/>
    <w:rsid w:val="00C75502"/>
    <w:rsid w:val="00CB27E0"/>
    <w:rsid w:val="00CB661C"/>
    <w:rsid w:val="00CD730A"/>
    <w:rsid w:val="00CE09DB"/>
    <w:rsid w:val="00CE22CD"/>
    <w:rsid w:val="00D00446"/>
    <w:rsid w:val="00D1120D"/>
    <w:rsid w:val="00D116B6"/>
    <w:rsid w:val="00D117D4"/>
    <w:rsid w:val="00D3215F"/>
    <w:rsid w:val="00D43097"/>
    <w:rsid w:val="00D43C38"/>
    <w:rsid w:val="00D46FDB"/>
    <w:rsid w:val="00D57BA2"/>
    <w:rsid w:val="00D627FA"/>
    <w:rsid w:val="00D729F7"/>
    <w:rsid w:val="00D7533B"/>
    <w:rsid w:val="00D85B71"/>
    <w:rsid w:val="00D91418"/>
    <w:rsid w:val="00D92098"/>
    <w:rsid w:val="00D92D0C"/>
    <w:rsid w:val="00DA5BF0"/>
    <w:rsid w:val="00DA7F64"/>
    <w:rsid w:val="00DB0D71"/>
    <w:rsid w:val="00DB1F09"/>
    <w:rsid w:val="00DB39C3"/>
    <w:rsid w:val="00DB4108"/>
    <w:rsid w:val="00DF1615"/>
    <w:rsid w:val="00DF30B7"/>
    <w:rsid w:val="00DF374C"/>
    <w:rsid w:val="00DF4BC4"/>
    <w:rsid w:val="00E002C7"/>
    <w:rsid w:val="00E06768"/>
    <w:rsid w:val="00E06F4E"/>
    <w:rsid w:val="00E077D3"/>
    <w:rsid w:val="00E11BCD"/>
    <w:rsid w:val="00E22547"/>
    <w:rsid w:val="00E24258"/>
    <w:rsid w:val="00E40A4C"/>
    <w:rsid w:val="00E55DD5"/>
    <w:rsid w:val="00E5747D"/>
    <w:rsid w:val="00E61988"/>
    <w:rsid w:val="00E6658E"/>
    <w:rsid w:val="00E7553E"/>
    <w:rsid w:val="00E97310"/>
    <w:rsid w:val="00EA1ADD"/>
    <w:rsid w:val="00EB3EBE"/>
    <w:rsid w:val="00EC42BB"/>
    <w:rsid w:val="00F0452C"/>
    <w:rsid w:val="00F12A08"/>
    <w:rsid w:val="00F23047"/>
    <w:rsid w:val="00F232DA"/>
    <w:rsid w:val="00F253B3"/>
    <w:rsid w:val="00F25EA9"/>
    <w:rsid w:val="00F33717"/>
    <w:rsid w:val="00F35ED8"/>
    <w:rsid w:val="00F37319"/>
    <w:rsid w:val="00F37D2F"/>
    <w:rsid w:val="00F52E44"/>
    <w:rsid w:val="00F610B2"/>
    <w:rsid w:val="00F7029D"/>
    <w:rsid w:val="00F96533"/>
    <w:rsid w:val="00FB15E6"/>
    <w:rsid w:val="00FB2130"/>
    <w:rsid w:val="00FB5E96"/>
    <w:rsid w:val="00FB7661"/>
    <w:rsid w:val="00FC0F12"/>
    <w:rsid w:val="00FC7454"/>
    <w:rsid w:val="00FD5912"/>
    <w:rsid w:val="00FE235C"/>
    <w:rsid w:val="00FE5F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D8B01"/>
  <w15:chartTrackingRefBased/>
  <w15:docId w15:val="{52EB46AB-BE53-4FE1-B3D5-23A87A2A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2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96235"/>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6235"/>
    <w:rPr>
      <w:rFonts w:asciiTheme="minorHAnsi" w:eastAsiaTheme="minorEastAsia" w:hAnsiTheme="minorHAnsi" w:cstheme="minorBidi"/>
      <w:kern w:val="0"/>
      <w:sz w:val="22"/>
      <w:szCs w:val="22"/>
      <w:lang w:eastAsia="en-US"/>
    </w:rPr>
  </w:style>
  <w:style w:type="paragraph" w:styleId="a3">
    <w:name w:val="Body Text"/>
    <w:basedOn w:val="a"/>
    <w:link w:val="a4"/>
    <w:uiPriority w:val="1"/>
    <w:qFormat/>
    <w:rsid w:val="005F70A2"/>
    <w:pPr>
      <w:spacing w:before="11"/>
      <w:ind w:left="249"/>
    </w:pPr>
    <w:rPr>
      <w:rFonts w:ascii="標楷體" w:eastAsia="標楷體" w:hAnsi="標楷體" w:cstheme="minorBidi"/>
      <w:kern w:val="0"/>
      <w:lang w:eastAsia="en-US"/>
    </w:rPr>
  </w:style>
  <w:style w:type="character" w:customStyle="1" w:styleId="a4">
    <w:name w:val="本文 字元"/>
    <w:basedOn w:val="a0"/>
    <w:link w:val="a3"/>
    <w:uiPriority w:val="1"/>
    <w:rsid w:val="005F70A2"/>
    <w:rPr>
      <w:rFonts w:ascii="標楷體" w:eastAsia="標楷體" w:hAnsi="標楷體"/>
      <w:kern w:val="0"/>
      <w:szCs w:val="24"/>
      <w:lang w:eastAsia="en-US"/>
    </w:rPr>
  </w:style>
  <w:style w:type="paragraph" w:customStyle="1" w:styleId="Default">
    <w:name w:val="Default"/>
    <w:rsid w:val="005F70A2"/>
    <w:pPr>
      <w:widowControl w:val="0"/>
      <w:autoSpaceDE w:val="0"/>
      <w:autoSpaceDN w:val="0"/>
      <w:adjustRightInd w:val="0"/>
    </w:pPr>
    <w:rPr>
      <w:rFonts w:ascii="標楷體" w:eastAsia="標楷體" w:cs="標楷體"/>
      <w:color w:val="000000"/>
      <w:kern w:val="0"/>
      <w:szCs w:val="24"/>
    </w:rPr>
  </w:style>
  <w:style w:type="paragraph" w:styleId="a5">
    <w:name w:val="List Paragraph"/>
    <w:basedOn w:val="a"/>
    <w:uiPriority w:val="34"/>
    <w:qFormat/>
    <w:rsid w:val="005F70A2"/>
    <w:pPr>
      <w:ind w:leftChars="200" w:left="480"/>
    </w:pPr>
  </w:style>
  <w:style w:type="paragraph" w:customStyle="1" w:styleId="a6">
    <w:name w:val="說明"/>
    <w:basedOn w:val="a"/>
    <w:rsid w:val="00260551"/>
    <w:pPr>
      <w:spacing w:line="500" w:lineRule="exact"/>
      <w:ind w:left="300" w:hangingChars="300" w:hanging="300"/>
    </w:pPr>
    <w:rPr>
      <w:rFonts w:eastAsia="標楷體"/>
      <w:sz w:val="32"/>
    </w:rPr>
  </w:style>
  <w:style w:type="paragraph" w:styleId="a7">
    <w:name w:val="header"/>
    <w:basedOn w:val="a"/>
    <w:link w:val="a8"/>
    <w:uiPriority w:val="99"/>
    <w:unhideWhenUsed/>
    <w:rsid w:val="001F544E"/>
    <w:pPr>
      <w:tabs>
        <w:tab w:val="center" w:pos="4153"/>
        <w:tab w:val="right" w:pos="8306"/>
      </w:tabs>
      <w:snapToGrid w:val="0"/>
    </w:pPr>
    <w:rPr>
      <w:sz w:val="20"/>
      <w:szCs w:val="20"/>
    </w:rPr>
  </w:style>
  <w:style w:type="character" w:customStyle="1" w:styleId="a8">
    <w:name w:val="頁首 字元"/>
    <w:basedOn w:val="a0"/>
    <w:link w:val="a7"/>
    <w:uiPriority w:val="99"/>
    <w:rsid w:val="001F544E"/>
    <w:rPr>
      <w:rFonts w:ascii="Times New Roman" w:eastAsia="新細明體" w:hAnsi="Times New Roman" w:cs="Times New Roman"/>
      <w:sz w:val="20"/>
      <w:szCs w:val="20"/>
    </w:rPr>
  </w:style>
  <w:style w:type="paragraph" w:styleId="a9">
    <w:name w:val="footer"/>
    <w:basedOn w:val="a"/>
    <w:link w:val="aa"/>
    <w:uiPriority w:val="99"/>
    <w:unhideWhenUsed/>
    <w:rsid w:val="001F544E"/>
    <w:pPr>
      <w:tabs>
        <w:tab w:val="center" w:pos="4153"/>
        <w:tab w:val="right" w:pos="8306"/>
      </w:tabs>
      <w:snapToGrid w:val="0"/>
    </w:pPr>
    <w:rPr>
      <w:sz w:val="20"/>
      <w:szCs w:val="20"/>
    </w:rPr>
  </w:style>
  <w:style w:type="character" w:customStyle="1" w:styleId="aa">
    <w:name w:val="頁尾 字元"/>
    <w:basedOn w:val="a0"/>
    <w:link w:val="a9"/>
    <w:uiPriority w:val="99"/>
    <w:rsid w:val="001F544E"/>
    <w:rPr>
      <w:rFonts w:ascii="Times New Roman" w:eastAsia="新細明體" w:hAnsi="Times New Roman" w:cs="Times New Roman"/>
      <w:sz w:val="20"/>
      <w:szCs w:val="20"/>
    </w:rPr>
  </w:style>
  <w:style w:type="paragraph" w:styleId="2">
    <w:name w:val="Body Text Indent 2"/>
    <w:basedOn w:val="a"/>
    <w:link w:val="20"/>
    <w:uiPriority w:val="99"/>
    <w:semiHidden/>
    <w:unhideWhenUsed/>
    <w:rsid w:val="00D00446"/>
    <w:pPr>
      <w:spacing w:after="120" w:line="480" w:lineRule="auto"/>
      <w:ind w:leftChars="200" w:left="480"/>
    </w:pPr>
  </w:style>
  <w:style w:type="character" w:customStyle="1" w:styleId="20">
    <w:name w:val="本文縮排 2 字元"/>
    <w:basedOn w:val="a0"/>
    <w:link w:val="2"/>
    <w:uiPriority w:val="99"/>
    <w:semiHidden/>
    <w:rsid w:val="00D00446"/>
    <w:rPr>
      <w:rFonts w:ascii="Times New Roman" w:eastAsia="新細明體" w:hAnsi="Times New Roman" w:cs="Times New Roman"/>
      <w:szCs w:val="24"/>
    </w:rPr>
  </w:style>
  <w:style w:type="paragraph" w:styleId="ab">
    <w:name w:val="Balloon Text"/>
    <w:basedOn w:val="a"/>
    <w:link w:val="ac"/>
    <w:uiPriority w:val="99"/>
    <w:semiHidden/>
    <w:unhideWhenUsed/>
    <w:rsid w:val="00CE22C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E22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8A1A2-F8D3-449D-9C43-F5E10FDB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2024-03-26T05:34:00Z</cp:lastPrinted>
  <dcterms:created xsi:type="dcterms:W3CDTF">2024-03-26T07:50:00Z</dcterms:created>
  <dcterms:modified xsi:type="dcterms:W3CDTF">2024-03-26T07:50:00Z</dcterms:modified>
</cp:coreProperties>
</file>